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C819F5">
        <w:rPr>
          <w:b/>
          <w:color w:val="auto"/>
        </w:rPr>
        <w:t>9</w:t>
      </w:r>
      <w:r w:rsidR="008D4049">
        <w:rPr>
          <w:b/>
          <w:color w:val="auto"/>
        </w:rPr>
        <w:t>.</w:t>
      </w:r>
      <w:r w:rsidR="00472D80">
        <w:rPr>
          <w:b/>
          <w:color w:val="auto"/>
        </w:rPr>
        <w:t>3</w:t>
      </w:r>
      <w:r w:rsidR="00EB388E">
        <w:rPr>
          <w:b/>
          <w:color w:val="auto"/>
        </w:rPr>
        <w:t>.201</w:t>
      </w:r>
      <w:r w:rsidR="00DF5CD6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472D80">
        <w:rPr>
          <w:b/>
          <w:color w:val="auto"/>
        </w:rPr>
        <w:t>8</w:t>
      </w:r>
      <w:r w:rsidR="001E7A74">
        <w:rPr>
          <w:b/>
          <w:color w:val="auto"/>
        </w:rPr>
        <w:t>/1</w:t>
      </w:r>
      <w:r w:rsidR="00472D80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271F9E">
        <w:rPr>
          <w:b/>
          <w:color w:val="auto"/>
        </w:rPr>
        <w:t>Rolnictwa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472D80">
        <w:rPr>
          <w:b/>
          <w:color w:val="auto"/>
        </w:rPr>
        <w:t>17 września</w:t>
      </w:r>
      <w:r w:rsidR="000502C6">
        <w:rPr>
          <w:b/>
          <w:color w:val="auto"/>
        </w:rPr>
        <w:t xml:space="preserve"> 2013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153E1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</w:t>
      </w:r>
      <w:r w:rsidR="000802A2">
        <w:rPr>
          <w:b/>
        </w:rPr>
        <w:t>Marek Dorabiała</w:t>
      </w:r>
      <w:r w:rsidR="008D4049">
        <w:rPr>
          <w:b/>
        </w:rPr>
        <w:t xml:space="preserve"> </w:t>
      </w:r>
      <w:r>
        <w:rPr>
          <w:b/>
        </w:rPr>
        <w:t>Przewodnicząc</w:t>
      </w:r>
      <w:r w:rsidR="008D4049">
        <w:rPr>
          <w:b/>
        </w:rPr>
        <w:t>y</w:t>
      </w:r>
      <w:r>
        <w:rPr>
          <w:b/>
        </w:rPr>
        <w:t xml:space="preserve"> Komisji </w:t>
      </w:r>
      <w:r w:rsidR="000802A2">
        <w:rPr>
          <w:b/>
        </w:rPr>
        <w:t>Rolnictwa</w:t>
      </w:r>
      <w:r>
        <w:t xml:space="preserve"> dnia </w:t>
      </w:r>
      <w:r w:rsidR="003153E1">
        <w:t xml:space="preserve">17 </w:t>
      </w:r>
      <w:r w:rsidR="00472D80">
        <w:t xml:space="preserve">września </w:t>
      </w:r>
      <w:r w:rsidR="000502C6">
        <w:t>2013</w:t>
      </w:r>
      <w:r>
        <w:t xml:space="preserve">  roku o godzinie </w:t>
      </w:r>
      <w:r w:rsidR="00472D80">
        <w:t>13</w:t>
      </w:r>
      <w:r w:rsidR="00472D80">
        <w:rPr>
          <w:vertAlign w:val="superscript"/>
        </w:rPr>
        <w:t>4</w:t>
      </w:r>
      <w:r w:rsidR="000502C6">
        <w:rPr>
          <w:vertAlign w:val="superscript"/>
        </w:rPr>
        <w:t>0</w:t>
      </w:r>
      <w:r>
        <w:t xml:space="preserve">otworzył obrady Komisji  </w:t>
      </w:r>
      <w:r w:rsidR="000802A2">
        <w:t>Rolnictwa</w:t>
      </w:r>
      <w:r>
        <w:t xml:space="preserve">. Powitał członków Komisji </w:t>
      </w:r>
      <w:r w:rsidR="001E7A74">
        <w:t xml:space="preserve">oraz </w:t>
      </w:r>
      <w:r w:rsidR="00B523CE">
        <w:t>zaproszonych gości w osob</w:t>
      </w:r>
      <w:r w:rsidR="00AA2F55">
        <w:t xml:space="preserve">ach </w:t>
      </w:r>
      <w:r w:rsidR="00B523CE">
        <w:t xml:space="preserve"> </w:t>
      </w:r>
      <w:r w:rsidR="00C14BB0">
        <w:t>, Naczelnika Wydziału Ochrony Środowiska i Administracji Budowlanej</w:t>
      </w:r>
      <w:r w:rsidR="00BF20DB">
        <w:t xml:space="preserve">, </w:t>
      </w:r>
      <w:r w:rsidR="00472D80">
        <w:t xml:space="preserve">Pana Grzegorza Wiśniewskiego – Łowczego Okręgowego, Pana Ryszarda Błaszkiewicza – Członka Zarządu Kujawsko-Pomorskiej Izby Rolniczej. </w:t>
      </w:r>
    </w:p>
    <w:p w:rsidR="00472D80" w:rsidRDefault="00472D80" w:rsidP="00381AA5">
      <w:pPr>
        <w:pStyle w:val="Zawartotabeli"/>
        <w:jc w:val="both"/>
      </w:pPr>
    </w:p>
    <w:p w:rsidR="00381AA5" w:rsidRPr="00BF20DB" w:rsidRDefault="00C14BB0" w:rsidP="00381AA5">
      <w:pPr>
        <w:pStyle w:val="Zawartotabeli"/>
        <w:jc w:val="both"/>
      </w:pPr>
      <w:r>
        <w:t xml:space="preserve"> </w:t>
      </w:r>
      <w:r w:rsidR="00AA2F55">
        <w:t xml:space="preserve"> </w:t>
      </w:r>
      <w:r w:rsidR="00381AA5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472D80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0802A2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os</w:t>
      </w:r>
      <w:r w:rsidR="000802A2">
        <w:rPr>
          <w:rFonts w:eastAsia="Times New Roman"/>
          <w:color w:val="auto"/>
        </w:rPr>
        <w:t>oby</w:t>
      </w:r>
      <w:r>
        <w:rPr>
          <w:rFonts w:eastAsia="Times New Roman"/>
          <w:color w:val="auto"/>
        </w:rPr>
        <w:t xml:space="preserve">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poinformował radnych, iż wraz zawiadomieniem o posiedzeniu Komisji otrzymali porządek obrad w brzmieniu:</w:t>
      </w:r>
    </w:p>
    <w:p w:rsidR="00472D80" w:rsidRDefault="00472D80" w:rsidP="00381AA5">
      <w:pPr>
        <w:jc w:val="both"/>
        <w:rPr>
          <w:color w:val="auto"/>
        </w:rPr>
      </w:pPr>
    </w:p>
    <w:p w:rsidR="00472D80" w:rsidRPr="00472D80" w:rsidRDefault="00472D80" w:rsidP="00472D80">
      <w:pPr>
        <w:pStyle w:val="Standard"/>
        <w:jc w:val="both"/>
        <w:rPr>
          <w:bCs/>
          <w:i/>
          <w:iCs/>
          <w:color w:val="auto"/>
          <w:sz w:val="21"/>
          <w:szCs w:val="21"/>
          <w:u w:val="single"/>
        </w:rPr>
      </w:pPr>
      <w:r w:rsidRPr="00472D80">
        <w:rPr>
          <w:bCs/>
          <w:i/>
          <w:iCs/>
          <w:color w:val="auto"/>
          <w:sz w:val="21"/>
          <w:szCs w:val="21"/>
          <w:u w:val="single"/>
        </w:rPr>
        <w:t>Proponowany porządek obrad:</w:t>
      </w:r>
    </w:p>
    <w:p w:rsidR="00472D80" w:rsidRPr="00472D80" w:rsidRDefault="00472D80" w:rsidP="00472D80">
      <w:pPr>
        <w:pStyle w:val="Standard"/>
        <w:numPr>
          <w:ilvl w:val="0"/>
          <w:numId w:val="33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72D80">
        <w:rPr>
          <w:rFonts w:eastAsia="Times New Roman"/>
          <w:color w:val="auto"/>
        </w:rPr>
        <w:t>Otwarcie obrad Komisji.</w:t>
      </w:r>
    </w:p>
    <w:p w:rsidR="00472D80" w:rsidRPr="00472D80" w:rsidRDefault="00472D80" w:rsidP="00472D80">
      <w:pPr>
        <w:pStyle w:val="Standard"/>
        <w:numPr>
          <w:ilvl w:val="0"/>
          <w:numId w:val="33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72D80">
        <w:rPr>
          <w:rFonts w:eastAsia="Times New Roman"/>
          <w:color w:val="auto"/>
        </w:rPr>
        <w:t>Stwierdzenie quorum.</w:t>
      </w:r>
    </w:p>
    <w:p w:rsidR="00472D80" w:rsidRPr="00472D80" w:rsidRDefault="00472D80" w:rsidP="00472D80">
      <w:pPr>
        <w:pStyle w:val="Standard"/>
        <w:numPr>
          <w:ilvl w:val="0"/>
          <w:numId w:val="33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72D80">
        <w:rPr>
          <w:rFonts w:eastAsia="Times New Roman"/>
          <w:color w:val="auto"/>
        </w:rPr>
        <w:t>Przyjęcie porządku obrad.</w:t>
      </w:r>
    </w:p>
    <w:p w:rsidR="00472D80" w:rsidRPr="00472D80" w:rsidRDefault="00472D80" w:rsidP="00472D80">
      <w:pPr>
        <w:pStyle w:val="Standard"/>
        <w:widowControl/>
        <w:numPr>
          <w:ilvl w:val="0"/>
          <w:numId w:val="33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472D80">
        <w:rPr>
          <w:rFonts w:eastAsia="Times New Roman" w:cs="Times New Roman"/>
          <w:color w:val="auto"/>
        </w:rPr>
        <w:t>Przyjęcie protokołu  nr 6/13 z dnia 17 czerwca 2012 roku.</w:t>
      </w:r>
    </w:p>
    <w:p w:rsidR="00472D80" w:rsidRPr="00472D80" w:rsidRDefault="00472D80" w:rsidP="00472D80">
      <w:pPr>
        <w:pStyle w:val="Akapitzlist"/>
        <w:numPr>
          <w:ilvl w:val="0"/>
          <w:numId w:val="33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</w:rPr>
      </w:pPr>
      <w:r w:rsidRPr="00472D80">
        <w:rPr>
          <w:rFonts w:eastAsia="Times New Roman"/>
        </w:rPr>
        <w:t xml:space="preserve">Informacja dotycząca działalności Izby Rolniczej. </w:t>
      </w:r>
    </w:p>
    <w:p w:rsidR="00472D80" w:rsidRPr="00472D80" w:rsidRDefault="00472D80" w:rsidP="00472D80">
      <w:pPr>
        <w:pStyle w:val="Akapitzlist"/>
        <w:numPr>
          <w:ilvl w:val="0"/>
          <w:numId w:val="33"/>
        </w:numPr>
        <w:autoSpaceDN w:val="0"/>
        <w:contextualSpacing w:val="0"/>
        <w:jc w:val="both"/>
        <w:textAlignment w:val="baseline"/>
        <w:rPr>
          <w:rFonts w:eastAsia="Times New Roman"/>
        </w:rPr>
      </w:pPr>
      <w:r w:rsidRPr="00472D80">
        <w:rPr>
          <w:rFonts w:eastAsia="Times New Roman"/>
        </w:rPr>
        <w:t xml:space="preserve">Informacja na temat uregulowań prawnych poboru wód do </w:t>
      </w:r>
      <w:proofErr w:type="spellStart"/>
      <w:r w:rsidRPr="00472D80">
        <w:rPr>
          <w:rFonts w:eastAsia="Times New Roman"/>
        </w:rPr>
        <w:t>nawodnień</w:t>
      </w:r>
      <w:proofErr w:type="spellEnd"/>
      <w:r w:rsidRPr="00472D80">
        <w:rPr>
          <w:rFonts w:eastAsia="Times New Roman"/>
        </w:rPr>
        <w:t xml:space="preserve"> upraw rolnych. </w:t>
      </w:r>
    </w:p>
    <w:p w:rsidR="00FA7D38" w:rsidRPr="00FA7D38" w:rsidRDefault="00472D80" w:rsidP="00472D80">
      <w:pPr>
        <w:pStyle w:val="Standard"/>
        <w:widowControl/>
        <w:numPr>
          <w:ilvl w:val="0"/>
          <w:numId w:val="33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472D80">
        <w:rPr>
          <w:rFonts w:eastAsia="Times New Roman"/>
        </w:rPr>
        <w:t>Informacja na temat działalności kół łowieckich na terenie powiatu włocławskiego</w:t>
      </w:r>
      <w:r w:rsidR="00FA7D38">
        <w:t>.</w:t>
      </w:r>
    </w:p>
    <w:p w:rsidR="00472D80" w:rsidRPr="00472D80" w:rsidRDefault="00472D80" w:rsidP="00472D80">
      <w:pPr>
        <w:pStyle w:val="Standard"/>
        <w:widowControl/>
        <w:numPr>
          <w:ilvl w:val="0"/>
          <w:numId w:val="33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472D80">
        <w:rPr>
          <w:color w:val="auto"/>
        </w:rPr>
        <w:t>Sprawy różne.</w:t>
      </w:r>
    </w:p>
    <w:p w:rsidR="00472D80" w:rsidRPr="00472D80" w:rsidRDefault="00472D80" w:rsidP="00472D80">
      <w:pPr>
        <w:pStyle w:val="Standard"/>
        <w:numPr>
          <w:ilvl w:val="0"/>
          <w:numId w:val="33"/>
        </w:numPr>
        <w:tabs>
          <w:tab w:val="left" w:pos="720"/>
        </w:tabs>
        <w:jc w:val="both"/>
      </w:pPr>
      <w:r w:rsidRPr="00472D80">
        <w:rPr>
          <w:rStyle w:val="StrongEmphasis"/>
          <w:b w:val="0"/>
          <w:color w:val="auto"/>
        </w:rPr>
        <w:t>Zakończenie obrad.</w:t>
      </w: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 w:rsidRPr="00070B56">
        <w:rPr>
          <w:b/>
        </w:rPr>
        <w:t>Przewodnicząc</w:t>
      </w:r>
      <w:r w:rsidR="000640E2" w:rsidRPr="00070B56">
        <w:rPr>
          <w:b/>
        </w:rPr>
        <w:t>y</w:t>
      </w:r>
      <w:r w:rsidRPr="00070B56">
        <w:rPr>
          <w:b/>
        </w:rPr>
        <w:t xml:space="preserve"> Komisji</w:t>
      </w:r>
      <w:r>
        <w:t xml:space="preserve"> zapytał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070B56">
        <w:t>P</w:t>
      </w:r>
      <w:r>
        <w:t>rzewodnicząc</w:t>
      </w:r>
      <w:r w:rsidR="000640E2">
        <w:t>y</w:t>
      </w:r>
      <w:r>
        <w:t xml:space="preserve"> zapytał, kto jest za przyjęciem porządku obrad i przeprowadził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>Za –</w:t>
      </w:r>
      <w:r w:rsidR="00472D80">
        <w:t>2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0640E2">
        <w:t>y</w:t>
      </w:r>
      <w:r>
        <w:t xml:space="preserve"> Komisji stwierdził,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lastRenderedPageBreak/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0640E2" w:rsidRPr="000640E2">
        <w:rPr>
          <w:b/>
          <w:sz w:val="22"/>
          <w:szCs w:val="22"/>
        </w:rPr>
        <w:t xml:space="preserve">nr </w:t>
      </w:r>
      <w:r w:rsidR="00472D80">
        <w:rPr>
          <w:b/>
          <w:sz w:val="22"/>
          <w:szCs w:val="22"/>
        </w:rPr>
        <w:t>7</w:t>
      </w:r>
      <w:r w:rsidR="000640E2" w:rsidRPr="000640E2">
        <w:rPr>
          <w:b/>
          <w:sz w:val="22"/>
          <w:szCs w:val="22"/>
        </w:rPr>
        <w:t>/1</w:t>
      </w:r>
      <w:r w:rsidR="003153E1">
        <w:rPr>
          <w:b/>
          <w:sz w:val="22"/>
          <w:szCs w:val="22"/>
        </w:rPr>
        <w:t>3</w:t>
      </w:r>
      <w:r w:rsidR="000640E2" w:rsidRPr="000640E2">
        <w:rPr>
          <w:b/>
          <w:sz w:val="22"/>
          <w:szCs w:val="22"/>
        </w:rPr>
        <w:t xml:space="preserve"> z dnia </w:t>
      </w:r>
      <w:r w:rsidR="00472D80">
        <w:rPr>
          <w:b/>
          <w:sz w:val="22"/>
          <w:szCs w:val="22"/>
        </w:rPr>
        <w:t>17 czerwca</w:t>
      </w:r>
      <w:r w:rsidR="000640E2" w:rsidRPr="000640E2">
        <w:rPr>
          <w:b/>
          <w:sz w:val="22"/>
          <w:szCs w:val="22"/>
        </w:rPr>
        <w:t xml:space="preserve"> 201</w:t>
      </w:r>
      <w:r w:rsidR="003153E1">
        <w:rPr>
          <w:b/>
          <w:sz w:val="22"/>
          <w:szCs w:val="22"/>
        </w:rPr>
        <w:t>3</w:t>
      </w:r>
      <w:r w:rsidR="000640E2" w:rsidRPr="000640E2">
        <w:rPr>
          <w:b/>
          <w:sz w:val="22"/>
          <w:szCs w:val="22"/>
        </w:rPr>
        <w:t xml:space="preserve"> roku.</w:t>
      </w:r>
    </w:p>
    <w:p w:rsidR="000640E2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0640E2">
        <w:rPr>
          <w:b/>
          <w:color w:val="auto"/>
        </w:rPr>
        <w:t>y</w:t>
      </w:r>
      <w:r>
        <w:rPr>
          <w:b/>
          <w:color w:val="auto"/>
        </w:rPr>
        <w:t xml:space="preserve"> Komisji  </w:t>
      </w:r>
      <w:r>
        <w:rPr>
          <w:color w:val="auto"/>
        </w:rPr>
        <w:t xml:space="preserve">poinformował, iż z posiedzenia komisji z dnia </w:t>
      </w:r>
      <w:r w:rsidR="00472D80">
        <w:rPr>
          <w:color w:val="auto"/>
        </w:rPr>
        <w:t>17 czerwca</w:t>
      </w:r>
      <w:r w:rsidR="003153E1">
        <w:rPr>
          <w:color w:val="auto"/>
        </w:rPr>
        <w:t xml:space="preserve"> 2013</w:t>
      </w:r>
      <w:r>
        <w:rPr>
          <w:color w:val="auto"/>
        </w:rPr>
        <w:t xml:space="preserve">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zapytał, kto jest za przyjęciem protokołu nr </w:t>
      </w:r>
      <w:r w:rsidR="00472D80">
        <w:rPr>
          <w:color w:val="auto"/>
        </w:rPr>
        <w:t>7</w:t>
      </w:r>
      <w:r>
        <w:rPr>
          <w:color w:val="auto"/>
        </w:rPr>
        <w:t>/1</w:t>
      </w:r>
      <w:r w:rsidR="003153E1">
        <w:rPr>
          <w:color w:val="auto"/>
        </w:rPr>
        <w:t>3</w:t>
      </w:r>
      <w:r>
        <w:rPr>
          <w:color w:val="auto"/>
        </w:rPr>
        <w:t xml:space="preserve"> z dnia </w:t>
      </w:r>
      <w:r w:rsidR="00472D80">
        <w:rPr>
          <w:color w:val="auto"/>
        </w:rPr>
        <w:t>17 czerwca</w:t>
      </w:r>
      <w:r w:rsidR="003153E1">
        <w:rPr>
          <w:color w:val="auto"/>
        </w:rPr>
        <w:t xml:space="preserve"> 2013</w:t>
      </w:r>
      <w:r>
        <w:rPr>
          <w:color w:val="auto"/>
        </w:rPr>
        <w:t xml:space="preserve"> roku 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3153E1">
        <w:rPr>
          <w:color w:val="auto"/>
        </w:rPr>
        <w:t>2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0640E2">
        <w:t>y</w:t>
      </w:r>
      <w:r>
        <w:t xml:space="preserve"> Komisji stwierdził</w:t>
      </w:r>
      <w:r w:rsidR="000640E2">
        <w:t>y</w:t>
      </w:r>
      <w:r>
        <w:t xml:space="preserve">, że protokół nr </w:t>
      </w:r>
      <w:r w:rsidR="003153E1">
        <w:t>6</w:t>
      </w:r>
      <w:r>
        <w:t>/1</w:t>
      </w:r>
      <w:r w:rsidR="003153E1">
        <w:t>3</w:t>
      </w:r>
      <w:r>
        <w:t xml:space="preserve"> z dnia </w:t>
      </w:r>
      <w:r w:rsidR="003153E1">
        <w:t>14 marca</w:t>
      </w:r>
      <w:r w:rsidR="000502C6">
        <w:t xml:space="preserve"> 201</w:t>
      </w:r>
      <w:r w:rsidR="003153E1">
        <w:t>3</w:t>
      </w:r>
      <w:r>
        <w:t xml:space="preserve">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472D80" w:rsidRPr="00472D80" w:rsidRDefault="00472D80" w:rsidP="00472D80">
      <w:pPr>
        <w:numPr>
          <w:ilvl w:val="0"/>
          <w:numId w:val="2"/>
        </w:numPr>
        <w:jc w:val="both"/>
        <w:rPr>
          <w:b/>
        </w:rPr>
      </w:pPr>
      <w:r w:rsidRPr="00472D80">
        <w:rPr>
          <w:rFonts w:eastAsia="Times New Roman"/>
          <w:b/>
        </w:rPr>
        <w:t xml:space="preserve">Informacja dotycząca działalności Izby Rolniczej. </w:t>
      </w:r>
    </w:p>
    <w:p w:rsidR="00827B65" w:rsidRPr="00B523CE" w:rsidRDefault="00827B65" w:rsidP="00827B65">
      <w:pPr>
        <w:jc w:val="both"/>
        <w:rPr>
          <w:b/>
        </w:rPr>
      </w:pPr>
    </w:p>
    <w:p w:rsidR="00472D80" w:rsidRPr="00472D80" w:rsidRDefault="00B523CE" w:rsidP="00472D80">
      <w:pPr>
        <w:autoSpaceDN w:val="0"/>
        <w:snapToGrid w:val="0"/>
        <w:jc w:val="both"/>
        <w:textAlignment w:val="baseline"/>
        <w:rPr>
          <w:rFonts w:eastAsia="Times New Roman"/>
        </w:rPr>
      </w:pPr>
      <w:r w:rsidRPr="00472D80">
        <w:rPr>
          <w:b/>
        </w:rPr>
        <w:t xml:space="preserve">Przewodniczący Komisji </w:t>
      </w:r>
      <w:r w:rsidRPr="009B0958">
        <w:t>poinfo</w:t>
      </w:r>
      <w:r w:rsidR="009B0958" w:rsidRPr="009B0958">
        <w:t xml:space="preserve">rmował członków Komisji, że </w:t>
      </w:r>
      <w:r w:rsidR="00827B65">
        <w:t xml:space="preserve">wraz zawiadomieniem otrzymali </w:t>
      </w:r>
      <w:r w:rsidR="000502C6" w:rsidRPr="00472D80">
        <w:rPr>
          <w:rFonts w:eastAsia="Times New Roman"/>
          <w:szCs w:val="20"/>
        </w:rPr>
        <w:t xml:space="preserve">informację </w:t>
      </w:r>
      <w:r w:rsidR="00472D80" w:rsidRPr="00472D80">
        <w:rPr>
          <w:rFonts w:eastAsia="Times New Roman"/>
        </w:rPr>
        <w:t>dotycząc</w:t>
      </w:r>
      <w:r w:rsidR="00472D80">
        <w:rPr>
          <w:rFonts w:eastAsia="Times New Roman"/>
        </w:rPr>
        <w:t>ą</w:t>
      </w:r>
      <w:r w:rsidR="00472D80" w:rsidRPr="00472D80">
        <w:rPr>
          <w:rFonts w:eastAsia="Times New Roman"/>
        </w:rPr>
        <w:t xml:space="preserve"> działalności Izby Rolniczej. </w:t>
      </w:r>
    </w:p>
    <w:p w:rsidR="000502C6" w:rsidRDefault="003153E1" w:rsidP="000502C6">
      <w:pPr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Przewodniczący Komisji p</w:t>
      </w:r>
      <w:r w:rsidR="005E31A5">
        <w:rPr>
          <w:rFonts w:eastAsia="Times New Roman"/>
          <w:szCs w:val="20"/>
        </w:rPr>
        <w:t xml:space="preserve">oprosił Pana </w:t>
      </w:r>
      <w:r w:rsidR="00472D80">
        <w:rPr>
          <w:rFonts w:eastAsia="Times New Roman"/>
          <w:szCs w:val="20"/>
        </w:rPr>
        <w:t xml:space="preserve">Ryszarda Błaszkiewicza – członka Zarządu  Kujawsko-Pomorskiej Izby Rolniczej </w:t>
      </w:r>
      <w:r w:rsidR="005E31A5">
        <w:rPr>
          <w:rFonts w:eastAsia="Times New Roman"/>
          <w:szCs w:val="20"/>
        </w:rPr>
        <w:t>o przedstawienie tematu.</w:t>
      </w:r>
    </w:p>
    <w:p w:rsidR="005E31A5" w:rsidRDefault="005E31A5" w:rsidP="000502C6">
      <w:pPr>
        <w:jc w:val="both"/>
        <w:rPr>
          <w:rFonts w:eastAsia="Times New Roman"/>
          <w:szCs w:val="20"/>
        </w:rPr>
      </w:pPr>
      <w:r w:rsidRPr="005E31A5">
        <w:rPr>
          <w:rFonts w:eastAsia="Times New Roman"/>
          <w:b/>
          <w:szCs w:val="20"/>
        </w:rPr>
        <w:t xml:space="preserve">Pan </w:t>
      </w:r>
      <w:r w:rsidR="008A05BD">
        <w:rPr>
          <w:rFonts w:eastAsia="Times New Roman"/>
          <w:b/>
          <w:szCs w:val="20"/>
        </w:rPr>
        <w:t xml:space="preserve">Ryszard Błaszkiewicz – członek Zarządu Kujawsko-Pomorskiej Izby Rolniczej </w:t>
      </w:r>
      <w:r>
        <w:rPr>
          <w:rFonts w:eastAsia="Times New Roman"/>
          <w:szCs w:val="20"/>
        </w:rPr>
        <w:t xml:space="preserve"> </w:t>
      </w:r>
      <w:r w:rsidR="008A05BD">
        <w:rPr>
          <w:rFonts w:eastAsia="Times New Roman"/>
          <w:szCs w:val="20"/>
        </w:rPr>
        <w:t xml:space="preserve">poinformował, że </w:t>
      </w:r>
      <w:r w:rsidR="005D2008">
        <w:rPr>
          <w:rFonts w:eastAsia="Times New Roman"/>
          <w:szCs w:val="20"/>
        </w:rPr>
        <w:t xml:space="preserve">kontynuowany jest cykl szkoleń, prowadzonych wspólnie z OR w Minikowie.  Osoby uczestniczące w szkoleniach mogły zapoznać się między innymi ze sposobami korzystania z Internetu, zastosowaniem technik komputerowych w gospodarstwie rolnym do powadzenia produkcji roślinnej, zwierzęcej i finansów.  Uczestnicy nabywali praktyczne umiejętności posługiwania się wybranymi programami: </w:t>
      </w:r>
      <w:proofErr w:type="spellStart"/>
      <w:r w:rsidR="005D2008">
        <w:rPr>
          <w:rFonts w:eastAsia="Times New Roman"/>
          <w:szCs w:val="20"/>
        </w:rPr>
        <w:t>NawSald</w:t>
      </w:r>
      <w:proofErr w:type="spellEnd"/>
      <w:r w:rsidR="005D2008">
        <w:rPr>
          <w:rFonts w:eastAsia="Times New Roman"/>
          <w:szCs w:val="20"/>
        </w:rPr>
        <w:t xml:space="preserve">, </w:t>
      </w:r>
      <w:proofErr w:type="spellStart"/>
      <w:r w:rsidR="005D2008">
        <w:rPr>
          <w:rFonts w:eastAsia="Times New Roman"/>
          <w:szCs w:val="20"/>
        </w:rPr>
        <w:t>ZeaSoft</w:t>
      </w:r>
      <w:proofErr w:type="spellEnd"/>
      <w:r w:rsidR="005D2008">
        <w:rPr>
          <w:rFonts w:eastAsia="Times New Roman"/>
          <w:szCs w:val="20"/>
        </w:rPr>
        <w:t xml:space="preserve">, </w:t>
      </w:r>
      <w:proofErr w:type="spellStart"/>
      <w:r w:rsidR="005D2008">
        <w:rPr>
          <w:rFonts w:eastAsia="Times New Roman"/>
          <w:szCs w:val="20"/>
        </w:rPr>
        <w:t>Agroasystent</w:t>
      </w:r>
      <w:proofErr w:type="spellEnd"/>
      <w:r w:rsidR="005D2008">
        <w:rPr>
          <w:rFonts w:eastAsia="Times New Roman"/>
          <w:szCs w:val="20"/>
        </w:rPr>
        <w:t xml:space="preserve">, Zootechnik, </w:t>
      </w:r>
      <w:proofErr w:type="spellStart"/>
      <w:r w:rsidR="005D2008">
        <w:rPr>
          <w:rFonts w:eastAsia="Times New Roman"/>
          <w:szCs w:val="20"/>
        </w:rPr>
        <w:t>Anapig</w:t>
      </w:r>
      <w:proofErr w:type="spellEnd"/>
      <w:r w:rsidR="005D2008">
        <w:rPr>
          <w:rFonts w:eastAsia="Times New Roman"/>
          <w:szCs w:val="20"/>
        </w:rPr>
        <w:t xml:space="preserve">, </w:t>
      </w:r>
      <w:proofErr w:type="spellStart"/>
      <w:r w:rsidR="005D2008">
        <w:rPr>
          <w:rFonts w:eastAsia="Times New Roman"/>
          <w:szCs w:val="20"/>
        </w:rPr>
        <w:t>Fakturka</w:t>
      </w:r>
      <w:proofErr w:type="spellEnd"/>
      <w:r w:rsidR="005D2008">
        <w:rPr>
          <w:rFonts w:eastAsia="Times New Roman"/>
          <w:szCs w:val="20"/>
        </w:rPr>
        <w:t>, Symfonia Mała Księgowość. Pierwsze miesiące 2013 roku upłynęły pod znakiem podejmowania prób zmiany obecnych zasad sprzedaży ziemi rolnikom z zasobów agencji nieruchomości rolnych. Na nieprawidłowości występujące w tym zakresie szczególną uwagę zwrócili rolnicy w</w:t>
      </w:r>
      <w:r w:rsidR="001E0626">
        <w:rPr>
          <w:rFonts w:eastAsia="Times New Roman"/>
          <w:szCs w:val="20"/>
        </w:rPr>
        <w:t>o</w:t>
      </w:r>
      <w:r w:rsidR="005D2008">
        <w:rPr>
          <w:rFonts w:eastAsia="Times New Roman"/>
          <w:szCs w:val="20"/>
        </w:rPr>
        <w:t xml:space="preserve">j. </w:t>
      </w:r>
      <w:r w:rsidR="001E0626">
        <w:rPr>
          <w:rFonts w:eastAsia="Times New Roman"/>
          <w:szCs w:val="20"/>
        </w:rPr>
        <w:t>z</w:t>
      </w:r>
      <w:r w:rsidR="005D2008">
        <w:rPr>
          <w:rFonts w:eastAsia="Times New Roman"/>
          <w:szCs w:val="20"/>
        </w:rPr>
        <w:t>achodnio-pomorskiego. Już jesienią 2012 roku rozpoczął się tam protest wobec praktyk wyprzedaży ziemi zachodnim nabywcom poprzez tak zwane „słupy”.  Zarząd KPIR na swoim posiedzeniu w dniu 8 stycznia 2013 roku poparł protestujących w Szczecinie rolników. Już wtedy domagaliśmy się prawa wnioskowania o odwołanie przetargu w sytuacji posiadania wątpliwości odnośnie osób mających w nim uczestniczyć oraz wprowadzania sankcji</w:t>
      </w:r>
      <w:r w:rsidR="001E0626">
        <w:rPr>
          <w:rFonts w:eastAsia="Times New Roman"/>
          <w:szCs w:val="20"/>
        </w:rPr>
        <w:t xml:space="preserve">. W dniu 11 stycznia 2013 roku zgodnie z ustaleniami zawartymi między ministrem rolnictwa, prezesem agencji nieruchomości rolnych a Międzyzwiązkowym Komitetem Protestacyjnym Rolników Województwa Zachodnio-Pomorskiego, prezes ANR przyznał Izbie Rolniczej jako reprezentantowi wszystkich rolników prawo wnioskowania o odwołanie przetargów w przypadkach uzasadnionych wątpliwości dotyczących tzw. „słupów” oraz opiniowania wniosków rolników o przyznanie im preferencyjnych warunków zabezpieczenia spłaty należności za nabywaną od ANR  nieruchomość rolną oraz rozłożenia jej na raty. Już w dniu 28 stycznia Zarząd KPIR przyjął w tej sprawie stosowna uchwałę. Mówi ona, ze z preferencyjnych warunków zabezpieczenia spłaty należności nabywaną w trybie przetargu ograniczonego lub pierwszeństwa, będą mogli skorzystać ci rolnicy, których powierzchnia gospodarstwa łącznie z zakupionymi gruntami nie przekroczy 120 ha użytków rolnych, a gospodarstwo to stanowić będzie główne źródło dochodu. </w:t>
      </w:r>
      <w:r w:rsidR="004A72CD">
        <w:rPr>
          <w:rFonts w:eastAsia="Times New Roman"/>
          <w:szCs w:val="20"/>
        </w:rPr>
        <w:t xml:space="preserve">KPIR systematycznie współpracuje </w:t>
      </w:r>
      <w:r w:rsidR="004A72CD">
        <w:rPr>
          <w:rFonts w:eastAsia="Times New Roman"/>
          <w:szCs w:val="20"/>
        </w:rPr>
        <w:lastRenderedPageBreak/>
        <w:t xml:space="preserve">z ANR w Bydgoszczy, zwłaszcza w zakresie pozyskiwania gruntów z zasobu skarbu państwa, z przeznaczeniem ich na powiększenie i tworzenie gospodarstw rodzinnych. ANR w Bydgoszczy planuje wyłączyć do 2016 roku około 8000 ha gruntów i przeznaczyć je do przetargów ograniczonych na powiększenie gospodarstw rodzinnych.  Na wspólnym posiedzeniu Zarządu KPIR i kierownictwa ARN w Bydgoszczy uzgodniono, że wszystkie propozycje podziału wydzielonych gruntów na mniejsze działki  Agencja przedkładać będzie do zaopiniowania poszczególnym radom powiatowym KPIR.  W związku z systematycznie malejącym pogłowiem świń, wygaszaniem produkcji pogarszającą się opłacalnością i zmniejszającą się konkurencyjnością naszej hodowli i chowu trzody chlewnej , zarząd Izby wielokrotnie uczestniczył w dyskusji na te tematy i przedstawiał swoje wnioski zmierzające do poprawy sytuacji. </w:t>
      </w:r>
      <w:r w:rsidR="00005156">
        <w:rPr>
          <w:rFonts w:eastAsia="Times New Roman"/>
          <w:szCs w:val="20"/>
        </w:rPr>
        <w:t xml:space="preserve"> Do zarządu i biura izby na początku roku napływały informacje o opóźnieniach w wydawaniu przez </w:t>
      </w:r>
      <w:proofErr w:type="spellStart"/>
      <w:r w:rsidR="00005156">
        <w:rPr>
          <w:rFonts w:eastAsia="Times New Roman"/>
          <w:szCs w:val="20"/>
        </w:rPr>
        <w:t>ARiMR</w:t>
      </w:r>
      <w:proofErr w:type="spellEnd"/>
      <w:r w:rsidR="00005156">
        <w:rPr>
          <w:rFonts w:eastAsia="Times New Roman"/>
          <w:szCs w:val="20"/>
        </w:rPr>
        <w:t xml:space="preserve"> decyzji o dopłatach bezpośrednich. Pochodziły one głównie od rolników poddanych kontrolom zgodności powierzchni zgłoszonych do płatności z tak zwanymi </w:t>
      </w:r>
      <w:proofErr w:type="spellStart"/>
      <w:r w:rsidR="00005156">
        <w:rPr>
          <w:rFonts w:eastAsia="Times New Roman"/>
          <w:szCs w:val="20"/>
        </w:rPr>
        <w:t>ortofotomapami</w:t>
      </w:r>
      <w:proofErr w:type="spellEnd"/>
      <w:r w:rsidR="00005156">
        <w:rPr>
          <w:rFonts w:eastAsia="Times New Roman"/>
          <w:szCs w:val="20"/>
        </w:rPr>
        <w:t xml:space="preserve">. Zarząd wielokrotnie podejmował interwencje w ministerstwie rolnictwa oraz bezpośrednio u prezesa agencji. Zarząd rozpatrywał nieprawidłowości występujące w postępowaniu osób obsługujących zwierzęta chore i okaleczone, co było nagłośnione w marcu i kwietniu 2013 roku. W związku z tym wysłał do Pani Wojewody wniosek opracowany przez radę powiatową KPIR w Świeciu, domagając się zorganizowania sieci punktów uboju z konieczności lub uboju sanitarnego zwierząt chorych lub okaleczonych. W związku z wejściem w życie od 28 stycznia 2013 roku zakazu </w:t>
      </w:r>
      <w:r w:rsidR="001F1457">
        <w:rPr>
          <w:rFonts w:eastAsia="Times New Roman"/>
          <w:szCs w:val="20"/>
        </w:rPr>
        <w:t>stosowania</w:t>
      </w:r>
      <w:r w:rsidR="00005156">
        <w:rPr>
          <w:rFonts w:eastAsia="Times New Roman"/>
          <w:szCs w:val="20"/>
        </w:rPr>
        <w:t xml:space="preserve"> </w:t>
      </w:r>
      <w:r w:rsidR="001F1457">
        <w:rPr>
          <w:rFonts w:eastAsia="Times New Roman"/>
          <w:szCs w:val="20"/>
        </w:rPr>
        <w:t>nasion</w:t>
      </w:r>
      <w:r w:rsidR="00005156">
        <w:rPr>
          <w:rFonts w:eastAsia="Times New Roman"/>
          <w:szCs w:val="20"/>
        </w:rPr>
        <w:t xml:space="preserve"> genetycznie modyfikowanych wnioskowaliśmy również o przeprowadzenie przez stosowne służby państwowe kontroli w jednostkach handlowych, sprzedających materiał nasienny kukurydzy i </w:t>
      </w:r>
      <w:r w:rsidR="001F1457">
        <w:rPr>
          <w:rFonts w:eastAsia="Times New Roman"/>
          <w:szCs w:val="20"/>
        </w:rPr>
        <w:t>ziemniaków</w:t>
      </w:r>
      <w:r w:rsidR="00005156">
        <w:rPr>
          <w:rFonts w:eastAsia="Times New Roman"/>
          <w:szCs w:val="20"/>
        </w:rPr>
        <w:t>, pod kątem zawartości organi</w:t>
      </w:r>
      <w:r w:rsidR="001F1457">
        <w:rPr>
          <w:rFonts w:eastAsia="Times New Roman"/>
          <w:szCs w:val="20"/>
        </w:rPr>
        <w:t xml:space="preserve">zmów genetycznie modyfikowanych. Takie kontrole skuteczniej pomogłyby przestrzegać zakazu uprawy kukurydzy i ziemniaków z GMO i ustrzegłoby rolników przed niezawinionymi karami. W przypadkach stwierdzonych zafałszowań danych przez sprzedającego materiał siewny , rolnik nie może być karany, a odszkodowanie za poniesione straty – likwidację plantacji – powinien otrzymywać z urzędu, a nie w wyniku pozwu cywilnego. Za pośrednictwem KRIR Zarząd skierował sprzeciw wobec trybu i terminu wprowadzenia przez ministra finansów rozporządzenia zmniejszającego kwoty obrotu, uprawniającej do zwolnienia z obowiązku ewidencjonowania obrotów za pomocą kas fiskalnych. KPIR wnioskowała o utrzymanie do 2016 roku preferencyjnych warunków oprocentowania kredytów na zakup ziemi z zasobów skarbu państwa. Korzystne dla rolników warunki przewidziane są jedynie do końca 2013 roku. Nie maleje </w:t>
      </w:r>
      <w:r w:rsidR="00AC0E0B">
        <w:rPr>
          <w:rFonts w:eastAsia="Times New Roman"/>
          <w:szCs w:val="20"/>
        </w:rPr>
        <w:t>zapotrzebowanie</w:t>
      </w:r>
      <w:r w:rsidR="001F1457">
        <w:rPr>
          <w:rFonts w:eastAsia="Times New Roman"/>
          <w:szCs w:val="20"/>
        </w:rPr>
        <w:t xml:space="preserve"> na doradztwo i pomoc prawną dla rolników. Bezpłatne usługi </w:t>
      </w:r>
      <w:r w:rsidR="00AC0E0B">
        <w:rPr>
          <w:rFonts w:eastAsia="Times New Roman"/>
          <w:szCs w:val="20"/>
        </w:rPr>
        <w:t>prawne</w:t>
      </w:r>
      <w:r w:rsidR="001F1457">
        <w:rPr>
          <w:rFonts w:eastAsia="Times New Roman"/>
          <w:szCs w:val="20"/>
        </w:rPr>
        <w:t xml:space="preserve"> obejmują szeroki wachlarz zagadnień związanych z produkcją i przetwórstwem rolniczym, obrotem produktami, gospodarką </w:t>
      </w:r>
      <w:r w:rsidR="00AC0E0B">
        <w:rPr>
          <w:rFonts w:eastAsia="Times New Roman"/>
          <w:szCs w:val="20"/>
        </w:rPr>
        <w:t>ziemią</w:t>
      </w:r>
      <w:r w:rsidR="001F1457">
        <w:rPr>
          <w:rFonts w:eastAsia="Times New Roman"/>
          <w:szCs w:val="20"/>
        </w:rPr>
        <w:t>, ubezpieczeniami</w:t>
      </w:r>
      <w:r w:rsidR="00AC0E0B">
        <w:rPr>
          <w:rFonts w:eastAsia="Times New Roman"/>
          <w:szCs w:val="20"/>
        </w:rPr>
        <w:t xml:space="preserve">, odszkodowaniami, wykorzystaniem pomocy finansowej unijnej i krajowej, inwestycjami na gruntach rolnych itp. Wybrane, ciekawsze przypadki porad publikowane są w formie odpowiedzi na pytania zadawane przez czytelników miesięcznika „Wieś Kujawsko-Pomorska”. Krajowa Rada Izb Rolniczych korzysta z naszych uwag, wniosków i opinii do projektów przepisów prawnych. W analizowanym okresie KPIR wypowiedziała się wobec następujących projektów aktów prawnych: pozytywnie zaopiniowano nowelizację ustawy o ochronie zwierząt dopuszczających ubój rytualny, dodatkowo zarząd izby wystąpił z apelem do parlamentarzystów o pilne przyjęcie ww. </w:t>
      </w:r>
      <w:r w:rsidR="0030695E">
        <w:rPr>
          <w:rFonts w:eastAsia="Times New Roman"/>
          <w:szCs w:val="20"/>
        </w:rPr>
        <w:t xml:space="preserve">ustawy; pozytywnie zaopiniowano projekt Rozporządzenia Rady Ministrów w sprawie zakazu stosowania materiału siewnego kukurydzy MON 810; negatywnie zaopiniowano </w:t>
      </w:r>
      <w:r w:rsidR="00AC0E0B">
        <w:rPr>
          <w:rFonts w:eastAsia="Times New Roman"/>
          <w:szCs w:val="20"/>
        </w:rPr>
        <w:t xml:space="preserve"> </w:t>
      </w:r>
      <w:r w:rsidR="0030695E">
        <w:rPr>
          <w:rFonts w:eastAsia="Times New Roman"/>
          <w:szCs w:val="20"/>
        </w:rPr>
        <w:t xml:space="preserve">projekt rozporządzenia zmieniającego rozporządzenie w sprawie szczegółowych warunków i trybu przyznawania  pomocy finansowej w ramach działania „Korzystanie z usług doradczych przez rolników i posiadaczy lasów” objętego PROW-em 2007-2013; pozytywnie zaopiniowano  </w:t>
      </w:r>
      <w:r w:rsidR="0004507C">
        <w:rPr>
          <w:rFonts w:eastAsia="Times New Roman"/>
          <w:szCs w:val="20"/>
        </w:rPr>
        <w:t xml:space="preserve">projekt rozporządzenia w sprawie rodzajów rośli objętych płatnością </w:t>
      </w:r>
      <w:r w:rsidR="0004507C">
        <w:rPr>
          <w:rFonts w:eastAsia="Times New Roman"/>
          <w:szCs w:val="20"/>
        </w:rPr>
        <w:lastRenderedPageBreak/>
        <w:t xml:space="preserve">uzupełniającą oraz szczegółowych warunków i trybu przyznawania płatności w ramach systemu wsparcia bezpośredniego; pozytywnie zaopiniowano projekt rozporządzenia w sprawie mieszanek materiału siewnego, negatywnie zaopiniowano projekt rozporządzenia zmieniający rozporządzenie w sprawie szczegółowych warunków i trybu </w:t>
      </w:r>
    </w:p>
    <w:p w:rsidR="005E31A5" w:rsidRDefault="00D0429C" w:rsidP="00827B65">
      <w:pPr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Przewodniczący Komisji zapytał członków Komisji, czy mają jeszcze </w:t>
      </w:r>
      <w:r w:rsidR="00564704">
        <w:rPr>
          <w:rFonts w:eastAsia="Times New Roman"/>
          <w:szCs w:val="20"/>
        </w:rPr>
        <w:t>jakieś pytania?</w:t>
      </w:r>
    </w:p>
    <w:p w:rsidR="00836441" w:rsidRDefault="00836441" w:rsidP="00827B65">
      <w:pPr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Przewodniczący Komisji powiedział, że Zakłady Tłuszczowe Kruszwica odchodzą od kontraktacji rzepaku na rzecz umowy kupna –sprzedaży. Takie rozwiązanie skutkuje stratami dla plantatorów. Przewodniczący zapytał, czy KPIR przygląda się temu problemowi? </w:t>
      </w:r>
    </w:p>
    <w:p w:rsidR="00836441" w:rsidRPr="00564704" w:rsidRDefault="00836441" w:rsidP="00827B65">
      <w:pPr>
        <w:jc w:val="both"/>
        <w:rPr>
          <w:rFonts w:eastAsia="Times New Roman"/>
          <w:szCs w:val="20"/>
        </w:rPr>
      </w:pPr>
      <w:r w:rsidRPr="005E31A5">
        <w:rPr>
          <w:rFonts w:eastAsia="Times New Roman"/>
          <w:b/>
          <w:szCs w:val="20"/>
        </w:rPr>
        <w:t xml:space="preserve">Pan </w:t>
      </w:r>
      <w:r>
        <w:rPr>
          <w:rFonts w:eastAsia="Times New Roman"/>
          <w:b/>
          <w:szCs w:val="20"/>
        </w:rPr>
        <w:t xml:space="preserve">Ryszard Błaszkiewicz – członek Zarządu Kujawsko-Pomorskiej Izby Rolniczej </w:t>
      </w:r>
      <w:r>
        <w:rPr>
          <w:rFonts w:eastAsia="Times New Roman"/>
          <w:szCs w:val="20"/>
        </w:rPr>
        <w:t xml:space="preserve"> poinformował, że KPIR słyszała o tym problemie, ale są o wiadomości jeszcze nieoficjalne. Były prowadzone rozmowy na ten temat z podmiotami skupującymi rzepak na rzecz Kruszwicy. Podmioty te zastanawiają się, czy będzie opłacało się kupować. </w:t>
      </w:r>
    </w:p>
    <w:p w:rsidR="000640E2" w:rsidRPr="009B0958" w:rsidRDefault="00827B65" w:rsidP="00827B65">
      <w:pPr>
        <w:jc w:val="both"/>
      </w:pPr>
      <w:r w:rsidRPr="000573F8">
        <w:rPr>
          <w:rFonts w:eastAsia="Times New Roman"/>
          <w:b/>
          <w:color w:val="auto"/>
        </w:rPr>
        <w:t>Przewodniczący Komisji</w:t>
      </w:r>
      <w:r w:rsidRPr="00C14BB0">
        <w:rPr>
          <w:rFonts w:eastAsia="Times New Roman"/>
          <w:color w:val="auto"/>
        </w:rPr>
        <w:t xml:space="preserve"> zapytał członków Komisji, czy maja uwagi do przedłożone</w:t>
      </w:r>
      <w:r w:rsidR="000502C6">
        <w:rPr>
          <w:rFonts w:eastAsia="Times New Roman"/>
          <w:color w:val="auto"/>
        </w:rPr>
        <w:t>j</w:t>
      </w:r>
      <w:r w:rsidRPr="00C14BB0">
        <w:rPr>
          <w:rFonts w:eastAsia="Times New Roman"/>
          <w:color w:val="auto"/>
        </w:rPr>
        <w:t xml:space="preserve"> </w:t>
      </w:r>
      <w:r w:rsidR="000502C6">
        <w:rPr>
          <w:rFonts w:eastAsia="Times New Roman"/>
          <w:color w:val="auto"/>
        </w:rPr>
        <w:t>informacji</w:t>
      </w:r>
      <w:r w:rsidRPr="00C14BB0">
        <w:rPr>
          <w:rFonts w:eastAsia="Times New Roman"/>
          <w:color w:val="auto"/>
        </w:rPr>
        <w:t>?</w:t>
      </w:r>
    </w:p>
    <w:p w:rsidR="00F56A4A" w:rsidRPr="0076566D" w:rsidRDefault="00827B65" w:rsidP="00D05BE2">
      <w:pPr>
        <w:jc w:val="both"/>
      </w:pPr>
      <w:r>
        <w:t xml:space="preserve">Wobec braku uwag </w:t>
      </w:r>
      <w:r w:rsidR="0076566D" w:rsidRPr="0076566D">
        <w:t xml:space="preserve">Przewodniczący Komisji </w:t>
      </w:r>
      <w:r w:rsidR="00D05BE2" w:rsidRPr="0076566D">
        <w:t>zapytał</w:t>
      </w:r>
      <w:r w:rsidR="00D05BE2">
        <w:t xml:space="preserve"> członków Komisji, kto jest z</w:t>
      </w:r>
      <w:r w:rsidR="0076566D" w:rsidRPr="0076566D">
        <w:t>a</w:t>
      </w:r>
      <w:r w:rsidR="00D05BE2">
        <w:t xml:space="preserve"> </w:t>
      </w:r>
      <w:r w:rsidR="000502C6">
        <w:t>przyjęciem informacji</w:t>
      </w:r>
      <w:r>
        <w:t xml:space="preserve"> </w:t>
      </w:r>
      <w:r w:rsidR="009B0958">
        <w:rPr>
          <w:rFonts w:eastAsia="Times New Roman"/>
        </w:rPr>
        <w:t>i przeprowadził procedurę głosowania</w:t>
      </w:r>
      <w:r w:rsidR="0098077E">
        <w:rPr>
          <w:rFonts w:eastAsia="Times New Roman"/>
        </w:rPr>
        <w:t>.</w:t>
      </w:r>
      <w:r w:rsidR="00F56A4A" w:rsidRPr="0076566D">
        <w:br/>
      </w:r>
      <w:r w:rsidR="00D05BE2">
        <w:t>Wyniki głosowania:</w:t>
      </w:r>
    </w:p>
    <w:p w:rsidR="00381AA5" w:rsidRDefault="0076566D" w:rsidP="000802A2">
      <w:pPr>
        <w:jc w:val="both"/>
      </w:pPr>
      <w:r>
        <w:t>Za-3</w:t>
      </w:r>
    </w:p>
    <w:p w:rsidR="0076566D" w:rsidRDefault="0076566D" w:rsidP="000802A2">
      <w:pPr>
        <w:jc w:val="both"/>
      </w:pPr>
      <w:r>
        <w:t>Przeciw-0</w:t>
      </w:r>
    </w:p>
    <w:p w:rsidR="0076566D" w:rsidRDefault="0076566D" w:rsidP="000802A2">
      <w:pPr>
        <w:jc w:val="both"/>
      </w:pPr>
      <w:r>
        <w:t>Wstrzymało się-0</w:t>
      </w:r>
    </w:p>
    <w:p w:rsidR="00BF20DB" w:rsidRPr="00BF20DB" w:rsidRDefault="00D05BE2" w:rsidP="00BF20DB">
      <w:pPr>
        <w:jc w:val="both"/>
      </w:pPr>
      <w:r w:rsidRPr="00BF20DB">
        <w:t xml:space="preserve">Na podstawie przeprowadzonego głosowania </w:t>
      </w:r>
      <w:r w:rsidR="00827B65" w:rsidRPr="00BF20DB">
        <w:t>P</w:t>
      </w:r>
      <w:r w:rsidRPr="00BF20DB">
        <w:t xml:space="preserve">rzewodniczący Komisji stwierdził, że Komisja </w:t>
      </w:r>
      <w:r w:rsidR="00BF20DB" w:rsidRPr="00BF20DB">
        <w:t xml:space="preserve">przyjęła </w:t>
      </w:r>
      <w:r w:rsidR="001F5A9B" w:rsidRPr="001F5A9B">
        <w:t xml:space="preserve">informację </w:t>
      </w:r>
      <w:r w:rsidR="001F5A9B" w:rsidRPr="001F5A9B">
        <w:rPr>
          <w:rFonts w:eastAsia="Times New Roman"/>
        </w:rPr>
        <w:t>dotyczącą działalności Izby Rolniczej</w:t>
      </w:r>
      <w:r w:rsidR="00564704" w:rsidRPr="001F5A9B">
        <w:rPr>
          <w:rFonts w:eastAsia="Times New Roman"/>
          <w:szCs w:val="20"/>
        </w:rPr>
        <w:t>.</w:t>
      </w:r>
    </w:p>
    <w:p w:rsidR="00D53548" w:rsidRPr="00BF20DB" w:rsidRDefault="00564704" w:rsidP="00827B65">
      <w:pPr>
        <w:jc w:val="both"/>
      </w:pPr>
      <w:r w:rsidRPr="00564704">
        <w:rPr>
          <w:rFonts w:eastAsia="Times New Roman"/>
          <w:szCs w:val="20"/>
        </w:rPr>
        <w:t xml:space="preserve">Informacja </w:t>
      </w:r>
      <w:r w:rsidR="001F5A9B">
        <w:rPr>
          <w:rFonts w:eastAsia="Times New Roman"/>
          <w:szCs w:val="20"/>
        </w:rPr>
        <w:t xml:space="preserve">dotycząca </w:t>
      </w:r>
      <w:r w:rsidR="001F5A9B" w:rsidRPr="001F5A9B">
        <w:rPr>
          <w:rFonts w:eastAsia="Times New Roman"/>
        </w:rPr>
        <w:t>działalności Izby Rolniczej</w:t>
      </w:r>
      <w:r w:rsidR="001F5A9B">
        <w:rPr>
          <w:rFonts w:eastAsia="Times New Roman"/>
        </w:rPr>
        <w:t xml:space="preserve"> </w:t>
      </w:r>
      <w:r w:rsidR="00D53548" w:rsidRPr="00BF20DB">
        <w:rPr>
          <w:rFonts w:eastAsia="Times New Roman"/>
          <w:color w:val="auto"/>
        </w:rPr>
        <w:t>stanowi załącznik nr</w:t>
      </w:r>
      <w:r w:rsidR="00BF20DB" w:rsidRPr="00BF20DB">
        <w:rPr>
          <w:rFonts w:eastAsia="Times New Roman"/>
          <w:color w:val="auto"/>
        </w:rPr>
        <w:t xml:space="preserve"> 4</w:t>
      </w:r>
      <w:r w:rsidR="00D53548" w:rsidRPr="00BF20DB">
        <w:rPr>
          <w:rFonts w:eastAsia="Times New Roman"/>
          <w:color w:val="auto"/>
        </w:rPr>
        <w:t xml:space="preserve"> do niniejszego protokołu. </w:t>
      </w:r>
    </w:p>
    <w:p w:rsidR="00D05BE2" w:rsidRDefault="009B0958" w:rsidP="009B0958">
      <w:pPr>
        <w:jc w:val="both"/>
      </w:pPr>
      <w:r>
        <w:rPr>
          <w:rFonts w:eastAsia="Times New Roman"/>
        </w:rPr>
        <w:t xml:space="preserve"> </w:t>
      </w:r>
    </w:p>
    <w:p w:rsidR="00D41F90" w:rsidRPr="00D41F90" w:rsidRDefault="00D41F90" w:rsidP="00D41F90">
      <w:pPr>
        <w:jc w:val="both"/>
      </w:pPr>
    </w:p>
    <w:p w:rsidR="008A05BD" w:rsidRPr="00DF5401" w:rsidRDefault="008A05BD" w:rsidP="008A05BD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DF5401">
        <w:rPr>
          <w:rFonts w:eastAsia="Times New Roman"/>
          <w:b/>
        </w:rPr>
        <w:t xml:space="preserve">Informacja na temat uregulowań prawnych poboru wód do </w:t>
      </w:r>
      <w:proofErr w:type="spellStart"/>
      <w:r w:rsidRPr="00DF5401">
        <w:rPr>
          <w:rFonts w:eastAsia="Times New Roman"/>
          <w:b/>
        </w:rPr>
        <w:t>nawodnień</w:t>
      </w:r>
      <w:proofErr w:type="spellEnd"/>
      <w:r w:rsidRPr="00DF5401">
        <w:rPr>
          <w:rFonts w:eastAsia="Times New Roman"/>
          <w:b/>
        </w:rPr>
        <w:t xml:space="preserve"> upraw rolnych. </w:t>
      </w:r>
    </w:p>
    <w:p w:rsidR="00827B65" w:rsidRDefault="00827B65" w:rsidP="00827B65">
      <w:pPr>
        <w:widowControl/>
        <w:suppressAutoHyphens w:val="0"/>
        <w:jc w:val="both"/>
        <w:rPr>
          <w:b/>
        </w:rPr>
      </w:pPr>
    </w:p>
    <w:p w:rsidR="00564704" w:rsidRPr="00DF5401" w:rsidRDefault="00D53548" w:rsidP="00404C6E">
      <w:pPr>
        <w:autoSpaceDN w:val="0"/>
        <w:jc w:val="both"/>
        <w:textAlignment w:val="baseline"/>
        <w:rPr>
          <w:rFonts w:eastAsia="Times New Roman"/>
        </w:rPr>
      </w:pPr>
      <w:r w:rsidRPr="00DF5401">
        <w:rPr>
          <w:b/>
          <w:color w:val="auto"/>
        </w:rPr>
        <w:t xml:space="preserve">Przewodniczący Komisji </w:t>
      </w:r>
      <w:r w:rsidRPr="00DF5401">
        <w:rPr>
          <w:color w:val="auto"/>
        </w:rPr>
        <w:t xml:space="preserve">poinformował członków Komisji, że wraz zawiadomieniem otrzymali </w:t>
      </w:r>
      <w:r w:rsidR="00564704" w:rsidRPr="00DF5401">
        <w:rPr>
          <w:rFonts w:eastAsia="Times New Roman"/>
          <w:color w:val="auto"/>
        </w:rPr>
        <w:t xml:space="preserve">informację </w:t>
      </w:r>
      <w:r w:rsidR="00DF5401" w:rsidRPr="00DF5401">
        <w:rPr>
          <w:rFonts w:eastAsia="Times New Roman"/>
        </w:rPr>
        <w:t xml:space="preserve">na temat uregulowań prawnych poboru </w:t>
      </w:r>
      <w:r w:rsidR="00DF5401">
        <w:rPr>
          <w:rFonts w:eastAsia="Times New Roman"/>
        </w:rPr>
        <w:t xml:space="preserve">wód do </w:t>
      </w:r>
      <w:proofErr w:type="spellStart"/>
      <w:r w:rsidR="00DF5401">
        <w:rPr>
          <w:rFonts w:eastAsia="Times New Roman"/>
        </w:rPr>
        <w:t>nawodnień</w:t>
      </w:r>
      <w:proofErr w:type="spellEnd"/>
      <w:r w:rsidR="00DF5401">
        <w:rPr>
          <w:rFonts w:eastAsia="Times New Roman"/>
        </w:rPr>
        <w:t xml:space="preserve"> upraw rolnych. </w:t>
      </w:r>
      <w:r w:rsidR="00564704" w:rsidRPr="0032198A">
        <w:rPr>
          <w:rFonts w:eastAsia="Times New Roman"/>
          <w:color w:val="auto"/>
        </w:rPr>
        <w:t>Przewodniczący Komisji poprosił Naczelnika Wydziału Ochrony Środowiska i Administracji Budowlanej o przedstawienie informacji</w:t>
      </w:r>
      <w:r w:rsidR="00DF5401">
        <w:rPr>
          <w:rFonts w:eastAsia="Times New Roman"/>
          <w:color w:val="auto"/>
        </w:rPr>
        <w:t>.</w:t>
      </w:r>
    </w:p>
    <w:p w:rsidR="00DF5401" w:rsidRPr="00E66223" w:rsidRDefault="001505B4" w:rsidP="00404C6E">
      <w:pPr>
        <w:jc w:val="both"/>
        <w:rPr>
          <w:rFonts w:eastAsia="Times New Roman"/>
          <w:color w:val="000000" w:themeColor="text1"/>
        </w:rPr>
      </w:pPr>
      <w:r w:rsidRPr="0032198A">
        <w:rPr>
          <w:rFonts w:eastAsia="Times New Roman"/>
          <w:b/>
          <w:color w:val="auto"/>
        </w:rPr>
        <w:t>Pan Tomasz Olach Naczelnik Wydziału Ochrony Środowiska i Administracji Budowlanej</w:t>
      </w:r>
      <w:r w:rsidRPr="0032198A">
        <w:rPr>
          <w:rFonts w:eastAsia="Times New Roman"/>
          <w:color w:val="auto"/>
        </w:rPr>
        <w:t xml:space="preserve"> poinformował, iż </w:t>
      </w:r>
      <w:r w:rsidR="00DF5401" w:rsidRPr="00AE6F20">
        <w:rPr>
          <w:rFonts w:eastAsia="Times New Roman"/>
          <w:color w:val="000000" w:themeColor="text1"/>
        </w:rPr>
        <w:t>Podstawowe regulacje prawne dotyczące korzystania z zasobów wodnych  zawarte są w ustawach: Prawo wodne</w:t>
      </w:r>
      <w:r w:rsidR="00E66223">
        <w:rPr>
          <w:rFonts w:eastAsia="Times New Roman"/>
          <w:color w:val="000000" w:themeColor="text1"/>
        </w:rPr>
        <w:t xml:space="preserve">, </w:t>
      </w:r>
      <w:r w:rsidR="00DF5401" w:rsidRPr="00AE6F20">
        <w:rPr>
          <w:rFonts w:eastAsia="Times New Roman"/>
          <w:color w:val="000000" w:themeColor="text1"/>
        </w:rPr>
        <w:t>Prawo ochrony środowiska</w:t>
      </w:r>
      <w:r w:rsidR="00E66223">
        <w:rPr>
          <w:rFonts w:eastAsia="Times New Roman"/>
          <w:color w:val="000000" w:themeColor="text1"/>
        </w:rPr>
        <w:t>,</w:t>
      </w:r>
      <w:r w:rsidR="00DF5401">
        <w:rPr>
          <w:rFonts w:eastAsia="Times New Roman"/>
          <w:color w:val="000000" w:themeColor="text1"/>
        </w:rPr>
        <w:t xml:space="preserve">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>Prawo budowlane</w:t>
      </w:r>
      <w:r w:rsidR="00E66223">
        <w:rPr>
          <w:color w:val="000000" w:themeColor="text1"/>
        </w:rPr>
        <w:t xml:space="preserve">. </w:t>
      </w:r>
      <w:r w:rsidRPr="00AE6F20">
        <w:rPr>
          <w:color w:val="000000" w:themeColor="text1"/>
        </w:rPr>
        <w:t xml:space="preserve">Korzystanie z wód polega na ich używaniu na potrzeby ludności oraz gospodarki i  nie może powodować pogorszenia stanu wód i ekosystemów od nich zależnych, w szczególności ustaleń planu gospodarowania wodami na obszarze dorzecza, a także marnotrawstwa wody, marnotrawstwa energii wody, ani wyrządzać szkód.  Korzystanie z wód polega na korzystaniu </w:t>
      </w:r>
      <w:r w:rsidRPr="00E66223">
        <w:rPr>
          <w:color w:val="000000" w:themeColor="text1"/>
        </w:rPr>
        <w:t>powszechnym, zwykłym lub szczególnym.</w:t>
      </w:r>
      <w:r w:rsidRPr="00AE6F20">
        <w:rPr>
          <w:color w:val="000000" w:themeColor="text1"/>
        </w:rPr>
        <w:t xml:space="preserve">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Przepisy ustawy dotyczące korzystania z wód stosuje się odpowiednio do: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1) nawadniania lub odwadniania gruntów;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2) odwadniania obiektów lub wykopów budowlanych oraz zakładów górniczych;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3) użytkowania wód znajdujących się w rowach;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4) wprowadzania ścieków do wód lub do ziemi;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5) wprowadzania, do urządzeń kanalizacyjnych będących we władaniu innych podmiotów, ścieków przemysłowych zawierających substancje szczególnie szkodliwe dla środowiska wodnego określone w przepisach wydanych na podstawie art. 45a ust. 1;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6) rolniczego wykorzystania ścieków; </w:t>
      </w:r>
    </w:p>
    <w:p w:rsidR="00DF5401" w:rsidRPr="00AE6F20" w:rsidRDefault="00DF5401" w:rsidP="00DF5401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lastRenderedPageBreak/>
        <w:t xml:space="preserve">7) wydobywania z wód powierzchniowych kamienia, żwiru, piasku oraz innych materiałów, a także wycinania roślin z wód lub brzegu; </w:t>
      </w:r>
    </w:p>
    <w:p w:rsidR="00E66223" w:rsidRDefault="00DF5401" w:rsidP="00E66223">
      <w:pPr>
        <w:pStyle w:val="Default"/>
        <w:jc w:val="both"/>
        <w:rPr>
          <w:color w:val="000000" w:themeColor="text1"/>
        </w:rPr>
      </w:pPr>
      <w:r w:rsidRPr="00AE6F20">
        <w:rPr>
          <w:color w:val="000000" w:themeColor="text1"/>
        </w:rPr>
        <w:t xml:space="preserve">8) piętrzenia oraz retencjonowania śródlądowych wód powierzchniowych. </w:t>
      </w:r>
    </w:p>
    <w:p w:rsidR="00E66223" w:rsidRDefault="00DF5401" w:rsidP="00E66223">
      <w:pPr>
        <w:pStyle w:val="Default"/>
        <w:jc w:val="both"/>
        <w:rPr>
          <w:color w:val="000000" w:themeColor="text1"/>
        </w:rPr>
      </w:pPr>
      <w:r w:rsidRPr="00E66223">
        <w:rPr>
          <w:bCs/>
          <w:color w:val="000000" w:themeColor="text1"/>
        </w:rPr>
        <w:t>Powszechne korzystanie z wód</w:t>
      </w:r>
      <w:r w:rsidRPr="00AE6F20">
        <w:rPr>
          <w:color w:val="000000" w:themeColor="text1"/>
        </w:rPr>
        <w:t xml:space="preserve"> służy do zaspokajania potrzeb osobistych, gospodarstwa domowego lub rolnego, bez stosowania specjalnych urządzeń technicznych, a także do wypoczynku, uprawiania turystyki, sportów wodnych oraz, na zasadach określonych w przypisach odrębnych, amatorskiego połowu </w:t>
      </w:r>
      <w:proofErr w:type="spellStart"/>
      <w:r w:rsidRPr="00AE6F20">
        <w:rPr>
          <w:color w:val="000000" w:themeColor="text1"/>
        </w:rPr>
        <w:t>ryb.Prawo</w:t>
      </w:r>
      <w:proofErr w:type="spellEnd"/>
      <w:r w:rsidRPr="00AE6F20">
        <w:rPr>
          <w:color w:val="000000" w:themeColor="text1"/>
        </w:rPr>
        <w:t xml:space="preserve"> do powszechnego korzystania z wód (śródlądowych, powierzchniowych wód publicznych, morskich wód wewnętrznych wraz z morskimi wodami wewnętrznymi Zatoki Gdańskiej oraz z wodami morza terytorialnego – jeżeli szczegółowe przepisy nie stanowią inaczej) przysługuje każdemu.</w:t>
      </w:r>
    </w:p>
    <w:p w:rsidR="00DF5401" w:rsidRPr="00AE6F20" w:rsidRDefault="00DF5401" w:rsidP="00E66223">
      <w:pPr>
        <w:pStyle w:val="Default"/>
        <w:jc w:val="both"/>
        <w:rPr>
          <w:color w:val="000000" w:themeColor="text1"/>
        </w:rPr>
      </w:pPr>
      <w:r w:rsidRPr="00E66223">
        <w:rPr>
          <w:bCs/>
          <w:color w:val="000000" w:themeColor="text1"/>
        </w:rPr>
        <w:t>Zwykłe korzystanie z wód</w:t>
      </w:r>
      <w:r w:rsidRPr="00AE6F20">
        <w:rPr>
          <w:color w:val="000000" w:themeColor="text1"/>
        </w:rPr>
        <w:t xml:space="preserve"> służy zaspokojeniu potrzeb własnego gospodarstwa domowego oraz gospodarstwa rolnego, za wyjątkiem:</w:t>
      </w:r>
    </w:p>
    <w:p w:rsidR="00DF5401" w:rsidRPr="00AE6F20" w:rsidRDefault="00DF5401" w:rsidP="00404C6E">
      <w:pPr>
        <w:widowControl/>
        <w:numPr>
          <w:ilvl w:val="0"/>
          <w:numId w:val="46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nawadniania gruntów lub upraw wodą podziemną za pomocą deszczowni;</w:t>
      </w:r>
    </w:p>
    <w:p w:rsidR="00DF5401" w:rsidRPr="00AE6F20" w:rsidRDefault="00DF5401" w:rsidP="00404C6E">
      <w:pPr>
        <w:widowControl/>
        <w:numPr>
          <w:ilvl w:val="0"/>
          <w:numId w:val="46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poboru wody powierzchniowej lub podziemnej w ilości większej niż 5 m</w:t>
      </w:r>
      <w:r w:rsidRPr="00AE6F20">
        <w:rPr>
          <w:rFonts w:eastAsia="Times New Roman"/>
          <w:color w:val="000000" w:themeColor="text1"/>
          <w:vertAlign w:val="superscript"/>
        </w:rPr>
        <w:t>3</w:t>
      </w:r>
      <w:r w:rsidRPr="00AE6F20">
        <w:rPr>
          <w:rFonts w:eastAsia="Times New Roman"/>
          <w:color w:val="000000" w:themeColor="text1"/>
        </w:rPr>
        <w:t xml:space="preserve"> na dobę;</w:t>
      </w:r>
    </w:p>
    <w:p w:rsidR="00DF5401" w:rsidRPr="00AE6F20" w:rsidRDefault="00DF5401" w:rsidP="00404C6E">
      <w:pPr>
        <w:widowControl/>
        <w:numPr>
          <w:ilvl w:val="0"/>
          <w:numId w:val="46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korzystania z wód na potrzeby działalności gospodarczej;</w:t>
      </w:r>
    </w:p>
    <w:p w:rsidR="00E66223" w:rsidRDefault="00DF5401" w:rsidP="00404C6E">
      <w:pPr>
        <w:widowControl/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right="195"/>
        <w:jc w:val="both"/>
        <w:rPr>
          <w:rFonts w:eastAsia="Times New Roman"/>
          <w:color w:val="000000" w:themeColor="text1"/>
        </w:rPr>
      </w:pPr>
      <w:r w:rsidRPr="00E66223">
        <w:rPr>
          <w:rFonts w:eastAsia="Times New Roman"/>
          <w:color w:val="000000" w:themeColor="text1"/>
        </w:rPr>
        <w:t>rolniczego wykorzystania ścieków lub wprowadzania do wód lub do ziemi oczyszczonych ścieków, jeżeli ich łączna ilość jest większa niż 5 m</w:t>
      </w:r>
      <w:r w:rsidRPr="00E66223">
        <w:rPr>
          <w:rFonts w:eastAsia="Times New Roman"/>
          <w:color w:val="000000" w:themeColor="text1"/>
          <w:vertAlign w:val="superscript"/>
        </w:rPr>
        <w:t>3</w:t>
      </w:r>
      <w:r w:rsidRPr="00E66223">
        <w:rPr>
          <w:rFonts w:eastAsia="Times New Roman"/>
          <w:color w:val="000000" w:themeColor="text1"/>
        </w:rPr>
        <w:t xml:space="preserve"> na dobę.</w:t>
      </w:r>
    </w:p>
    <w:p w:rsidR="00DF5401" w:rsidRPr="00AE6F20" w:rsidRDefault="00DF5401" w:rsidP="00E66223">
      <w:pPr>
        <w:widowControl/>
        <w:shd w:val="clear" w:color="auto" w:fill="FFFFFF"/>
        <w:suppressAutoHyphens w:val="0"/>
        <w:spacing w:before="100" w:beforeAutospacing="1" w:after="100" w:afterAutospacing="1"/>
        <w:ind w:right="195"/>
        <w:jc w:val="both"/>
        <w:rPr>
          <w:rFonts w:eastAsia="Times New Roman"/>
          <w:color w:val="000000" w:themeColor="text1"/>
        </w:rPr>
      </w:pPr>
      <w:r w:rsidRPr="00E66223">
        <w:rPr>
          <w:rFonts w:eastAsia="Times New Roman"/>
          <w:color w:val="000000" w:themeColor="text1"/>
        </w:rPr>
        <w:t>Każdemu właścicielowi gruntu przysługuje prawo do zwykłego korzystania z wód stanowiących jego własność oraz z wody podziemnej znajdującej się w jego gruncie. Prawo to nie stanowi prawa do wykonywania urządzeń wodnych jeżeli dla ich budowy i/lub eksploatacji wymagane jest uzyskanie pozwolenia wodno-prawnego.</w:t>
      </w:r>
      <w:r w:rsidR="00E66223">
        <w:rPr>
          <w:rFonts w:eastAsia="Times New Roman"/>
          <w:color w:val="000000" w:themeColor="text1"/>
        </w:rPr>
        <w:t xml:space="preserve"> </w:t>
      </w:r>
      <w:r w:rsidRPr="00E66223">
        <w:rPr>
          <w:rFonts w:eastAsia="Times New Roman"/>
          <w:bCs/>
          <w:color w:val="000000" w:themeColor="text1"/>
        </w:rPr>
        <w:t>Szczególne korzystanie z wód</w:t>
      </w:r>
      <w:r w:rsidRPr="00AE6F20">
        <w:rPr>
          <w:rFonts w:eastAsia="Times New Roman"/>
          <w:color w:val="000000" w:themeColor="text1"/>
        </w:rPr>
        <w:t xml:space="preserve"> obejmuje działania wykraczające poza korzystanie powszechne lub zwykłe, w szczególności: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E66223">
        <w:rPr>
          <w:rFonts w:eastAsia="Times New Roman"/>
          <w:color w:val="000000" w:themeColor="text1"/>
        </w:rPr>
        <w:t>pobór oraz odprowadzanie wód powierzchniowych lub podziemnych</w:t>
      </w:r>
      <w:r w:rsidRPr="00AE6F20">
        <w:rPr>
          <w:rFonts w:eastAsia="Times New Roman"/>
          <w:color w:val="000000" w:themeColor="text1"/>
        </w:rPr>
        <w:t>;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wprowadzanie ścieków do wód lub do ziemi;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przerzuty wody oraz sztuczne zasilanie wód podziemnych;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piętrzenie oraz retencjonowanie śródlądowych wód powierzchniowych;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korzystanie z wód do celów energetycznych;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korzystanie z wód do celów żeglugi oraz spławu;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wydobywanie z wód kamienia, żwiru, piasku oraz innych materiałów, a także wycinanie roślin z wód lub brzegu;</w:t>
      </w:r>
    </w:p>
    <w:p w:rsidR="00DF5401" w:rsidRPr="00AE6F20" w:rsidRDefault="00DF5401" w:rsidP="00404C6E">
      <w:pPr>
        <w:widowControl/>
        <w:numPr>
          <w:ilvl w:val="0"/>
          <w:numId w:val="47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rybackie korzystanie ze śródlądowych wód powierzchniowych.</w:t>
      </w:r>
    </w:p>
    <w:p w:rsidR="00DF5401" w:rsidRPr="00AE6F20" w:rsidRDefault="00DF5401" w:rsidP="00DF540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Przepisy ustawy z dni</w:t>
      </w:r>
      <w:r>
        <w:rPr>
          <w:rFonts w:eastAsia="Times New Roman"/>
          <w:color w:val="000000" w:themeColor="text1"/>
        </w:rPr>
        <w:t>a 18 lipca 2001 r. Prawo wodne (</w:t>
      </w:r>
      <w:r>
        <w:rPr>
          <w:color w:val="000000" w:themeColor="text1"/>
        </w:rPr>
        <w:t>Dz. U. z 2012 r . poz. 951</w:t>
      </w:r>
      <w:r w:rsidRPr="00AE6F20">
        <w:rPr>
          <w:rFonts w:eastAsia="Times New Roman"/>
          <w:color w:val="000000" w:themeColor="text1"/>
        </w:rPr>
        <w:t>), dotyczące korzystania z wód stosuje się odpowiednio do:</w:t>
      </w:r>
    </w:p>
    <w:p w:rsidR="00DF5401" w:rsidRPr="00AE6F20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nawadniania lub odwadniania gruntów;</w:t>
      </w:r>
    </w:p>
    <w:p w:rsidR="00DF5401" w:rsidRPr="00AE6F20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odwadniania obiektów lub wykopów budowlanych oraz zakładów górniczych;</w:t>
      </w:r>
    </w:p>
    <w:p w:rsidR="00DF5401" w:rsidRPr="00AE6F20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użytkowania wód znajdujących się w rowach;</w:t>
      </w:r>
    </w:p>
    <w:p w:rsidR="00DF5401" w:rsidRPr="00AE6F20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wprowadzania ścieków do wód lub do ziemi (w tym także wprowadzanie ścieków do urządzeń wodnych, z wyjątkiem kanałów oraz zbiorników);</w:t>
      </w:r>
    </w:p>
    <w:p w:rsidR="00DF5401" w:rsidRPr="00AE6F20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wprowadzania, do urządzeń kanalizacyjnych będących we władaniu innych podmiotów, ścieków przemysłowych zawierających substancje szczególnie szkodliwe dla środowiska wodnego;</w:t>
      </w:r>
    </w:p>
    <w:p w:rsidR="00DF5401" w:rsidRPr="00AE6F20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rolniczego wykorzystania ścieków;</w:t>
      </w:r>
    </w:p>
    <w:p w:rsidR="00DF5401" w:rsidRPr="00AE6F20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lastRenderedPageBreak/>
        <w:t xml:space="preserve">wydobywania z wód powierzchniowych kamienia, żwiru, piasku oraz innych materiałów, a także wycinania roślin z wód lub brzegu; </w:t>
      </w:r>
    </w:p>
    <w:p w:rsidR="00DF5401" w:rsidRPr="007829AE" w:rsidRDefault="00DF5401" w:rsidP="00404C6E">
      <w:pPr>
        <w:widowControl/>
        <w:numPr>
          <w:ilvl w:val="0"/>
          <w:numId w:val="48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piętrzenia oraz retencjonowania śródlądowych wód powierzchniowych.</w:t>
      </w:r>
    </w:p>
    <w:p w:rsidR="00E66223" w:rsidRDefault="00DF5401" w:rsidP="00404C6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Pozwolenia wodno-prawne są instrumentem formalno-prawnym pozwalającym uprawnionym organom administracji publicznej na określanie warunków korzystania z wód powierzchniowych i podziemnych oraz prowadzenie kontroli w tym zakresie. Celem wprowadzenia systemu pozwoleń jest racjonalizacja korzystania z wód, ograniczanie zanieczyszczenia wód oraz zapewnienie ich odpowiedniej jakości oraz zależnych od nich ekosystemów wodnych poprzez określanie sposobów wykorzystywania wód, w tym w szczególności ilości wody pobieranej oraz ilości substancji wprowadzanych (ścieków) do wód i do gruntów.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Adekwatne pozwolenia wodno-prawne obowiązany jest uzyskać każdy podmiot korzystający z wód (dotyczy to przedsiębiorstw, jednostek organizacyjnych, osób fizycznych), jeżeli zakres tego korzystania przekracza tzw. korzystanie powszechne lub zwykłe.</w:t>
      </w:r>
    </w:p>
    <w:p w:rsidR="00DF5401" w:rsidRPr="00AE6F20" w:rsidRDefault="00DF5401" w:rsidP="00404C6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Pozwolenie wodno-prawne, zgodnie w zapisami art. 122, ust. 1 ww. ustawy, wymagane jest w przypadku: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tzw. szczególnego korzystania z wód,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wykonywania regulacji wód oraz zmiany ukształtowania terenu na gruntach przylegających do wód, mające wpływ na warunki przepływu wody;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wykonywania urządzeń wodnych;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rolniczego wykorzystania ścieków (w zakresie nieobjętym zwykłym korzystaniem z wód;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długotrwałego obniżenia poziomu zwierciadła wody podziemnej; 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piętrzenia wody podziemnej;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gromadzenia ścieków oraz odpadów w obrębie obszarów górniczych utworzonych dla wód leczniczych;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odwodnienia obiektów lub wykopów budowlanych oraz zakładów górniczych;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wprowadzania do wód powierzchniowych substancji hamujących rozwój glonów;</w:t>
      </w:r>
    </w:p>
    <w:p w:rsidR="00DF5401" w:rsidRPr="00AE6F20" w:rsidRDefault="00DF5401" w:rsidP="00404C6E">
      <w:pPr>
        <w:widowControl/>
        <w:numPr>
          <w:ilvl w:val="0"/>
          <w:numId w:val="49"/>
        </w:numPr>
        <w:shd w:val="clear" w:color="auto" w:fill="FFFFFF"/>
        <w:suppressAutoHyphens w:val="0"/>
        <w:spacing w:before="45" w:after="45"/>
        <w:ind w:right="195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wprowadzania do urządzeń kanalizacyjnych, będących własnością innych podmiotów, ścieków przemysłowych zawierających substancje szczególnie szkodliwe dla środowiska wodnego.</w:t>
      </w:r>
    </w:p>
    <w:p w:rsidR="00E66223" w:rsidRDefault="00DF5401" w:rsidP="00E66223">
      <w:pPr>
        <w:shd w:val="clear" w:color="auto" w:fill="FFFFFF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Wszystkie nowe inwestycje (instalacje, obiekty, zespoły obiektów) i/lub obiekty przebudowywane, nie mogą zostać oddane do eksploatacji o ile nie będą posiadać wymaganych prawem pozwoleń, określających zakres, warunki i wymagania korzystania ze środowiska. Brak pozwolenia wodno-prawnego może skutkować wstrzymaniem użytkowania inwestycji.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Organem właściwym do wydawania pozwol</w:t>
      </w:r>
      <w:r>
        <w:rPr>
          <w:rFonts w:eastAsia="Times New Roman"/>
          <w:color w:val="000000" w:themeColor="text1"/>
        </w:rPr>
        <w:t>eń wodno-prawnych jest starosta.</w:t>
      </w:r>
      <w:r w:rsidRPr="00AE6F20">
        <w:rPr>
          <w:rFonts w:eastAsia="Times New Roman"/>
          <w:color w:val="000000" w:themeColor="text1"/>
        </w:rPr>
        <w:t xml:space="preserve"> 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Pozwolenie wodno-prawne wydawane jest przez właściwy organ administracji publicznej w drodze decyzji administracyjnej, na wniosek zainteresowanego podmiotu. Do wniosku dołącza się wymagana prawem dokumentację.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Każdorazowo właściwy organ wydający pozwolenie wodno-prawne zobowiązany jest do podania do publicznej wiadomości informacji o wszczęciu postępowania.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Stronami w postępowaniu o wydanie pozwolenia wodno-prawnego są: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wnioskodawca, dyrektor regionalnego zarządu gospodarki wodnej, właściciel wody, właściciel urządzenia wodnego, władający powierzchnią ziemi oraz uprawniony do rybactwa znajdujący się w zasięgu oddziaływania zamierzonego korzystania z wód lub planowanych do wykonania urządzeń wodnych.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 xml:space="preserve">Każdy podmiot w związku z </w:t>
      </w:r>
      <w:r w:rsidRPr="00AE6F20">
        <w:rPr>
          <w:rFonts w:eastAsia="Times New Roman"/>
          <w:color w:val="000000" w:themeColor="text1"/>
        </w:rPr>
        <w:lastRenderedPageBreak/>
        <w:t>wydaniem pozwolenia wodno-prawnego, musi ponieść opłatę skarbową. Każde pozwolenie wodno-prawne może wygasnąć, a także może zostać cofnięte lub ograniczone przez organ właściwy do jego wydania.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W pozwoleniu wodno-prawnym ustala się cel i zakres korzystania z wód, warunki wykonywania uprawnienia oraz obowiązki niezbędne ze względu na ochronę zasobów środowiska, interesów ludności i gospodarki. Szczegółowy zakres pozwolenia wodno-prawnego regulują przepisy art. 128 ustawy Prawo wodne. Zgodnie z ustawą Kodeks postępowania administracyjnego (</w:t>
      </w:r>
      <w:r>
        <w:rPr>
          <w:color w:val="000000" w:themeColor="text1"/>
        </w:rPr>
        <w:t>Dz. U. z 2012 r. poz. 1529</w:t>
      </w:r>
      <w:r w:rsidRPr="00AE6F20">
        <w:rPr>
          <w:rFonts w:eastAsia="Times New Roman"/>
          <w:color w:val="000000" w:themeColor="text1"/>
        </w:rPr>
        <w:t xml:space="preserve">), załatwienie sprawy od momentu uzyskania wszystkich niezbędnych dokumentów i opinii, może trwać do 1 miesiąca, a w przypadkach szczególnie skomplikowanych do 2 miesięcy. W przypadku braku kompletu wymaganych dokumentów, wnioskodawca zostanie wezwany do ich uzupełnienia. Nie uzupełnienie wniosku w terminie 7 dni od dnia doręczenia wezwania spowoduje pozostawienie wniosku bez </w:t>
      </w:r>
      <w:proofErr w:type="spellStart"/>
      <w:r w:rsidRPr="00AE6F20">
        <w:rPr>
          <w:rFonts w:eastAsia="Times New Roman"/>
          <w:color w:val="000000" w:themeColor="text1"/>
        </w:rPr>
        <w:t>rozpoznania.Od</w:t>
      </w:r>
      <w:proofErr w:type="spellEnd"/>
      <w:r w:rsidRPr="00AE6F20">
        <w:rPr>
          <w:rFonts w:eastAsia="Times New Roman"/>
          <w:color w:val="000000" w:themeColor="text1"/>
        </w:rPr>
        <w:t xml:space="preserve"> decyzji organu wydającego pozwolenie wodno-prawne przysługuje odwołanie do samorządowego kolegium odwoławczego, za pośrednictwem organu, który decyzję wydał, w terminie 14 dni od daty jej otrzymania.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Coraz większym zainteresowaniem w ostatnich latach staje się pobór wód ze studni wierconych tzw. głębinowych. STUDNIA WIERCONA - ujmuje poziomy wodonośne zalegające na większych głębokościach. Studni głębinowej nie wolno wykonać wtedy, gdy zabrania tego zapis w miejscowym planie zagospodarowania przestrzennego.</w:t>
      </w:r>
      <w:r w:rsidR="00E66223">
        <w:rPr>
          <w:rFonts w:eastAsia="Times New Roman"/>
          <w:color w:val="000000" w:themeColor="text1"/>
        </w:rPr>
        <w:t xml:space="preserve"> </w:t>
      </w:r>
    </w:p>
    <w:p w:rsidR="00DF5401" w:rsidRPr="00E66223" w:rsidRDefault="00DF5401" w:rsidP="00E66223">
      <w:pPr>
        <w:shd w:val="clear" w:color="auto" w:fill="FFFFFF"/>
        <w:jc w:val="both"/>
        <w:rPr>
          <w:rFonts w:eastAsia="Times New Roman"/>
          <w:color w:val="000000" w:themeColor="text1"/>
        </w:rPr>
      </w:pPr>
      <w:r w:rsidRPr="00E66223">
        <w:rPr>
          <w:rFonts w:eastAsia="Times New Roman"/>
          <w:bCs/>
          <w:color w:val="000000" w:themeColor="text1"/>
        </w:rPr>
        <w:t>Wymagane dokumenty</w:t>
      </w:r>
    </w:p>
    <w:p w:rsidR="00DF5401" w:rsidRPr="00AE6F20" w:rsidRDefault="00DF5401" w:rsidP="00E66223">
      <w:pPr>
        <w:spacing w:line="330" w:lineRule="atLeast"/>
        <w:jc w:val="both"/>
        <w:rPr>
          <w:rFonts w:eastAsia="Times New Roman"/>
          <w:color w:val="000000" w:themeColor="text1"/>
        </w:rPr>
      </w:pPr>
      <w:r w:rsidRPr="00E66223">
        <w:rPr>
          <w:rFonts w:eastAsia="Times New Roman"/>
          <w:bCs/>
          <w:color w:val="000000" w:themeColor="text1"/>
        </w:rPr>
        <w:t>a)Projekt</w:t>
      </w:r>
      <w:r w:rsidRPr="00AE6F20">
        <w:rPr>
          <w:rFonts w:eastAsia="Times New Roman"/>
          <w:b/>
          <w:bCs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br/>
        <w:t>Wykonanie studni wymaga wcześniejszego opracowania projektu i złożenia go do zatwierdzenia w Starostwie Powiatowym.</w:t>
      </w:r>
    </w:p>
    <w:p w:rsidR="00DF5401" w:rsidRPr="00AE6F20" w:rsidRDefault="00DF5401" w:rsidP="00DF5401">
      <w:pPr>
        <w:spacing w:after="75"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Opracowanie projektu prac geologicznych na wykonanie studni wierconej należy zlecić geologowi posiadającemu uprawnienia hydrogeologiczne.</w:t>
      </w:r>
    </w:p>
    <w:p w:rsidR="00DF5401" w:rsidRDefault="00DF5401" w:rsidP="00DF5401">
      <w:pPr>
        <w:spacing w:after="75"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Geolog określa w projekcie m.in.: lokalizację studni, przewidywaną głębokość wiercenia, konstrukcję otworu, badania hydrogeologiczne. </w:t>
      </w:r>
    </w:p>
    <w:p w:rsidR="00DF5401" w:rsidRPr="00AE6F20" w:rsidRDefault="00DF5401" w:rsidP="00DF5401">
      <w:pPr>
        <w:spacing w:after="75"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Wszystko to, co powinien zawierać projekt oraz dokumentacja</w:t>
      </w:r>
      <w:r>
        <w:rPr>
          <w:rFonts w:eastAsia="Times New Roman"/>
          <w:color w:val="000000" w:themeColor="text1"/>
        </w:rPr>
        <w:t xml:space="preserve"> powykonawcza określa ustawa z 9 czerwca 2011</w:t>
      </w:r>
      <w:r w:rsidRPr="00AE6F20">
        <w:rPr>
          <w:rFonts w:eastAsia="Times New Roman"/>
          <w:color w:val="000000" w:themeColor="text1"/>
        </w:rPr>
        <w:t xml:space="preserve"> r. Prawo geologiczne i górnicze oraz akty wykonawcze do tej ustawy. Jest sprawą oczywistą, że nakład pracy potrzebny do opracowania projektu jest zróżnicowany w zależności od wielkości zgłoszonego zapotrzebowania na wodę, projektowanej głębokości, stopnia rozpoznania geologicznego w rejonie przyszłego ujęcia. Wniosek o zatwierdzenie projektu składa Inwestor, lub geolog występujący w jego imieniu, bądź firma wykonująca studnię. Podstawą do wykonania studni głębinowej jest projekt prac geologicznych zatwierdzony przez Starostę. Projekt ważny jest przez okres podany w decyzji zatwierdzającej. Wiercenie studni należy więc rozpocząć w czasie, w którym projekt jest ważny.</w:t>
      </w:r>
    </w:p>
    <w:p w:rsidR="00DF5401" w:rsidRPr="00AE6F20" w:rsidRDefault="00DF5401" w:rsidP="00DF5401">
      <w:pPr>
        <w:spacing w:after="75" w:line="330" w:lineRule="atLeast"/>
        <w:rPr>
          <w:rFonts w:eastAsia="Times New Roman"/>
          <w:color w:val="000000" w:themeColor="text1"/>
        </w:rPr>
      </w:pPr>
      <w:r w:rsidRPr="00E66223">
        <w:rPr>
          <w:rFonts w:eastAsia="Times New Roman"/>
          <w:bCs/>
          <w:color w:val="000000" w:themeColor="text1"/>
        </w:rPr>
        <w:t>b) Pozwolenie wodnoprawne</w:t>
      </w:r>
      <w:r w:rsidRPr="00E66223">
        <w:rPr>
          <w:rFonts w:eastAsia="Times New Roman"/>
          <w:color w:val="000000" w:themeColor="text1"/>
        </w:rPr>
        <w:br/>
      </w:r>
      <w:r w:rsidRPr="00AE6F20">
        <w:rPr>
          <w:rFonts w:eastAsia="Times New Roman"/>
          <w:color w:val="000000" w:themeColor="text1"/>
        </w:rPr>
        <w:t>Po przyjęciu dokumentacji hydrogeologicznej, należy wystąpić do Starosty z wnioskiem o udzielenie pozwolenia wodnoprawnego na pobór wód podziemnych. Pozwolenie wodnoprawne nie jest wymagane na wykonanie studni o głębokości do 30 m3, jeśli pobór wody nie przekracza 5m3 na dobę, a wydajność pomp czerpiących wodę ze studni nie jest większa niż 0,5 m3/h (art. 124 Prawo wodne). Jest to tzw. zwykłe korzystanie z wody.</w:t>
      </w:r>
    </w:p>
    <w:p w:rsidR="00DF5401" w:rsidRPr="00AE6F20" w:rsidRDefault="00DF5401" w:rsidP="00DF5401">
      <w:pPr>
        <w:spacing w:after="75"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Pozwolenie wodnoprawne wydawane jest w drodze decyzji przy czym na pobór wody wydaje się je na czas określony, nie dłuższy niż 20 lat (art. 127 Prawo wodne).</w:t>
      </w:r>
    </w:p>
    <w:p w:rsidR="00DF5401" w:rsidRDefault="00DF5401" w:rsidP="00B26907">
      <w:pPr>
        <w:spacing w:after="75"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lastRenderedPageBreak/>
        <w:t>Do pozwolenia wodnoprawnego należy dołączyć:</w:t>
      </w:r>
      <w:r w:rsidR="00B26907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decyzję o warunkach zabudowy i zagospodarowania terenu,</w:t>
      </w:r>
      <w:r w:rsidR="00B26907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opis prowadzenia zamierzonej działalności sporządzony językiem opisowym, operat wodnoprawny:</w:t>
      </w:r>
    </w:p>
    <w:p w:rsidR="00DF5401" w:rsidRPr="00AE6F20" w:rsidRDefault="00DF5401" w:rsidP="00E66223">
      <w:pPr>
        <w:spacing w:line="312" w:lineRule="atLeast"/>
        <w:jc w:val="both"/>
        <w:rPr>
          <w:rFonts w:eastAsia="Times New Roman"/>
          <w:color w:val="000000" w:themeColor="text1"/>
        </w:rPr>
      </w:pPr>
      <w:r w:rsidRPr="00E167BE">
        <w:rPr>
          <w:rFonts w:eastAsia="Times New Roman"/>
          <w:color w:val="000000" w:themeColor="text1"/>
        </w:rPr>
        <w:t>Operat wodnoprawny jest zbiorem dokumentacji prawnej i technicznej określającej zakres planowanych inwestycji. Operat ten należy sporządzić w formie opisowej i graficznej - w części opisowej należy zamieścić dane osobowe wraz z adresem oraz cel i zakres zamierzonego korzystania z wód, stan prawny sąsiednich nieruchomości, charakterystykę wód, natomiast część graficzna powinna zawierać plan urządzeń wodnych, przekroje podłużne i poprzeczne urządzeń wodnych oraz koryt wody płynącej w zasięgu oddziaływania, schemat funkcjonalny lub technologiczny urządzeń wodnych;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W przypadku, gdy wniosek dotyczył będzie poboru wód głębinowych operatem będzie dokumentacja geologiczna przygotowana przez specjalistę z uprawnieniami geologicznymi, zawierająca oprócz tych informacji, określenie wielkości poboru wody maksymalnego godzinowego i średniego dobowego, opis techniczny urządzeń służących do poboru wody, określenie rodzajów urządzeń służących do rejestracji oraz pomiaru poboru wody, określenie zakresu i częstotliwości wykonywania wymaganych a</w:t>
      </w:r>
      <w:r w:rsidR="00B26907">
        <w:rPr>
          <w:rFonts w:eastAsia="Times New Roman"/>
          <w:color w:val="000000" w:themeColor="text1"/>
        </w:rPr>
        <w:t xml:space="preserve">naliz pobieranej wody. </w:t>
      </w:r>
      <w:r w:rsidRPr="00AE6F20">
        <w:rPr>
          <w:rFonts w:eastAsia="Times New Roman"/>
          <w:color w:val="000000" w:themeColor="text1"/>
        </w:rPr>
        <w:t>Zgodnie z art. 137 ust. 1 Prawo wodne pozwolenie wodnoprawne można cofnąć lub ograniczyć za odszkodowaniem, jeżeli jest to uzasadnione interesem ludności albo ważnymi względami gospodarczymi. Pozwolenie wodnoprawne może cofnąć ta sama instytucja, która je wydała.</w:t>
      </w:r>
      <w:r w:rsidR="00E66223">
        <w:rPr>
          <w:rFonts w:eastAsia="Times New Roman"/>
          <w:color w:val="000000" w:themeColor="text1"/>
        </w:rPr>
        <w:t xml:space="preserve"> </w:t>
      </w:r>
      <w:r w:rsidRPr="00AE6F20">
        <w:rPr>
          <w:rFonts w:eastAsia="Times New Roman"/>
          <w:color w:val="000000" w:themeColor="text1"/>
        </w:rPr>
        <w:t>Każda studnia musi być wykonana w odległości co najmniej:</w:t>
      </w:r>
    </w:p>
    <w:p w:rsidR="00DF5401" w:rsidRPr="00AE6F20" w:rsidRDefault="00DF5401" w:rsidP="00E66223">
      <w:pPr>
        <w:widowControl/>
        <w:numPr>
          <w:ilvl w:val="0"/>
          <w:numId w:val="43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5 m granicy działki, a także studni wspólnej na granicy dwóch działek, </w:t>
      </w:r>
    </w:p>
    <w:p w:rsidR="00DF5401" w:rsidRPr="00AE6F20" w:rsidRDefault="00DF5401" w:rsidP="00E66223">
      <w:pPr>
        <w:widowControl/>
        <w:numPr>
          <w:ilvl w:val="0"/>
          <w:numId w:val="43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7,5 m od osi rowu przydrożnego, </w:t>
      </w:r>
    </w:p>
    <w:p w:rsidR="00DF5401" w:rsidRPr="00AE6F20" w:rsidRDefault="00DF5401" w:rsidP="00E66223">
      <w:pPr>
        <w:widowControl/>
        <w:numPr>
          <w:ilvl w:val="0"/>
          <w:numId w:val="43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15 m od budynków inwentarskich i związanych z nimi silosów, szczelnych zbiorników na gnojowice, </w:t>
      </w:r>
      <w:proofErr w:type="spellStart"/>
      <w:r w:rsidRPr="00AE6F20">
        <w:rPr>
          <w:rFonts w:eastAsia="Times New Roman"/>
          <w:color w:val="000000" w:themeColor="text1"/>
        </w:rPr>
        <w:t>kompostników</w:t>
      </w:r>
      <w:proofErr w:type="spellEnd"/>
      <w:r w:rsidRPr="00AE6F20">
        <w:rPr>
          <w:rFonts w:eastAsia="Times New Roman"/>
          <w:color w:val="000000" w:themeColor="text1"/>
        </w:rPr>
        <w:t xml:space="preserve"> itp., jak również od szczelnego bezodpływowego zbiornika ścieków (potocznie określanego jako szambo), </w:t>
      </w:r>
    </w:p>
    <w:p w:rsidR="00DF5401" w:rsidRPr="00AE6F20" w:rsidRDefault="00DF5401" w:rsidP="00E66223">
      <w:pPr>
        <w:widowControl/>
        <w:numPr>
          <w:ilvl w:val="0"/>
          <w:numId w:val="43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30 m od drenażu rozsączającego ścieki do gruntu, jeżeli są one uprzednio oczyszczane biologicznie, </w:t>
      </w:r>
    </w:p>
    <w:p w:rsidR="00DF5401" w:rsidRPr="00AE6F20" w:rsidRDefault="00DF5401" w:rsidP="00E66223">
      <w:pPr>
        <w:widowControl/>
        <w:numPr>
          <w:ilvl w:val="0"/>
          <w:numId w:val="43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70 m od nieutwardzonych wybiegów dla zwierząt hodowlanych oraz od drenażu rozsączającego ścieki nieoczyszczone biologicznie.</w:t>
      </w:r>
    </w:p>
    <w:p w:rsidR="00DF5401" w:rsidRPr="00AE6F20" w:rsidRDefault="00DF5401" w:rsidP="00E66223">
      <w:pPr>
        <w:spacing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Roboty wiertnicze muszą być prowadzone pod nadzorem uprawnionego geologa, zaś teren wokół wiercenia zabezpiecza wykonawca studni zgodnie z wymogami prawa geologicznego i górniczego. </w:t>
      </w:r>
    </w:p>
    <w:p w:rsidR="00DF5401" w:rsidRPr="00E66223" w:rsidRDefault="00DF5401" w:rsidP="00E66223">
      <w:pPr>
        <w:spacing w:line="330" w:lineRule="atLeast"/>
        <w:jc w:val="both"/>
        <w:rPr>
          <w:rFonts w:eastAsia="Times New Roman"/>
          <w:color w:val="000000" w:themeColor="text1"/>
        </w:rPr>
      </w:pPr>
      <w:r w:rsidRPr="00E66223">
        <w:rPr>
          <w:rFonts w:eastAsia="Times New Roman"/>
          <w:bCs/>
          <w:color w:val="000000" w:themeColor="text1"/>
        </w:rPr>
        <w:t>Opłaty za pobór wody</w:t>
      </w:r>
    </w:p>
    <w:p w:rsidR="00DF5401" w:rsidRPr="00AE6F20" w:rsidRDefault="00DF5401" w:rsidP="00E66223">
      <w:pPr>
        <w:spacing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Rozporządzenie Rady Ministrów z dnia 20 grudnia 2005 roku w sprawie opłat za korzystanie ze środowiska określa stawki opłat za pobór wody. Wysokość opłat zależy od ilości i jakości pobranej wody oraz od tego, czy pobrano wodę powierzchniową czy podziemną, a także od jej przeznaczenia.</w:t>
      </w:r>
    </w:p>
    <w:p w:rsidR="00DF5401" w:rsidRPr="00AE6F20" w:rsidRDefault="00DF5401" w:rsidP="00E66223">
      <w:pPr>
        <w:spacing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Jednostkowa stawka opłaty za pobór 1 m3 wody podziemnej - wynosi 0,09 zł;</w:t>
      </w:r>
    </w:p>
    <w:p w:rsidR="00DF5401" w:rsidRPr="00AE6F20" w:rsidRDefault="00DF5401" w:rsidP="00E66223">
      <w:pPr>
        <w:widowControl/>
        <w:numPr>
          <w:ilvl w:val="0"/>
          <w:numId w:val="44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jeżeli pobrana woda zostanie wykorzystana do zaopatrzenia ludności w wodę przeznaczoną do spożycia lub na cele socjalno-bytowe, jednostkowa stawka opłaty za pobór 1 m3 wody podziemnej - wynosi 0,053 zł;</w:t>
      </w:r>
    </w:p>
    <w:p w:rsidR="00DF5401" w:rsidRPr="00AE6F20" w:rsidRDefault="00DF5401" w:rsidP="00E66223">
      <w:pPr>
        <w:widowControl/>
        <w:numPr>
          <w:ilvl w:val="0"/>
          <w:numId w:val="44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lastRenderedPageBreak/>
        <w:t>jeżeli pobrana woda podziemna zostanie przeznaczona na potrzeby produkcji, w której woda wchodzi w skład albo bezpośredni kontakt z produktami żywnościowymi jednostkowa stawka opłaty za pobór 1 m3 tej wody wynosi 0,076 zł.</w:t>
      </w:r>
    </w:p>
    <w:p w:rsidR="00DF5401" w:rsidRPr="00AE6F20" w:rsidRDefault="00DF5401" w:rsidP="00E66223">
      <w:pPr>
        <w:spacing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Powyższe stawki mnoży się przez współczynniki różnicujące:</w:t>
      </w:r>
    </w:p>
    <w:p w:rsidR="00DF5401" w:rsidRPr="00AE6F20" w:rsidRDefault="00DF5401" w:rsidP="00E66223">
      <w:pPr>
        <w:widowControl/>
        <w:numPr>
          <w:ilvl w:val="0"/>
          <w:numId w:val="45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2 - jeżeli woda nie podlega żadnym procesom uzdatniania lub woda podlega wyłącznie dezynfekcji lub demineralizacji albo innym procesom uzdatniania,</w:t>
      </w:r>
    </w:p>
    <w:p w:rsidR="00DF5401" w:rsidRPr="00AE6F20" w:rsidRDefault="00DF5401" w:rsidP="00E66223">
      <w:pPr>
        <w:widowControl/>
        <w:numPr>
          <w:ilvl w:val="0"/>
          <w:numId w:val="45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1,25 - jeżeli woda podlega procesom odżelaziania lub utleniania;</w:t>
      </w:r>
    </w:p>
    <w:p w:rsidR="00DF5401" w:rsidRPr="00AE6F20" w:rsidRDefault="00DF5401" w:rsidP="00E66223">
      <w:pPr>
        <w:widowControl/>
        <w:numPr>
          <w:ilvl w:val="0"/>
          <w:numId w:val="45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 xml:space="preserve">1 - jeżeli woda podlega procesom </w:t>
      </w:r>
      <w:proofErr w:type="spellStart"/>
      <w:r w:rsidRPr="00AE6F20">
        <w:rPr>
          <w:rFonts w:eastAsia="Times New Roman"/>
          <w:color w:val="000000" w:themeColor="text1"/>
        </w:rPr>
        <w:t>odmanganiania</w:t>
      </w:r>
      <w:proofErr w:type="spellEnd"/>
      <w:r w:rsidRPr="00AE6F20">
        <w:rPr>
          <w:rFonts w:eastAsia="Times New Roman"/>
          <w:color w:val="000000" w:themeColor="text1"/>
        </w:rPr>
        <w:t>;</w:t>
      </w:r>
    </w:p>
    <w:p w:rsidR="00DF5401" w:rsidRPr="00AE6F20" w:rsidRDefault="00DF5401" w:rsidP="00DF5401">
      <w:pPr>
        <w:widowControl/>
        <w:numPr>
          <w:ilvl w:val="0"/>
          <w:numId w:val="45"/>
        </w:numPr>
        <w:suppressAutoHyphens w:val="0"/>
        <w:spacing w:before="100" w:beforeAutospacing="1" w:after="100" w:afterAutospacing="1"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0,5 - jeżeli woda podlega procesom usuwania amoniaku, koagulacji lub adsorpcji;</w:t>
      </w:r>
    </w:p>
    <w:p w:rsidR="00DF5401" w:rsidRPr="00AE6F20" w:rsidRDefault="00DF5401" w:rsidP="00E66223">
      <w:pPr>
        <w:widowControl/>
        <w:numPr>
          <w:ilvl w:val="0"/>
          <w:numId w:val="45"/>
        </w:numPr>
        <w:suppressAutoHyphens w:val="0"/>
        <w:spacing w:line="312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0,3 - jeżeli woda podlega procesom usuwania azotanów lub metali ciężkich.</w:t>
      </w:r>
    </w:p>
    <w:p w:rsidR="00DF5401" w:rsidRPr="00AE6F20" w:rsidRDefault="00DF5401" w:rsidP="00E66223">
      <w:pPr>
        <w:spacing w:line="330" w:lineRule="atLeast"/>
        <w:jc w:val="both"/>
        <w:rPr>
          <w:rFonts w:eastAsia="Times New Roman"/>
          <w:color w:val="000000" w:themeColor="text1"/>
        </w:rPr>
      </w:pPr>
      <w:r w:rsidRPr="00AE6F20">
        <w:rPr>
          <w:rFonts w:eastAsia="Times New Roman"/>
          <w:color w:val="000000" w:themeColor="text1"/>
        </w:rPr>
        <w:t>Opłaty wnosi się na rachunek urzędu marszałkowskiego właściwego ze względu na miejsce korzystania ze środowiska</w:t>
      </w:r>
      <w:r>
        <w:rPr>
          <w:rFonts w:eastAsia="Times New Roman"/>
          <w:color w:val="000000" w:themeColor="text1"/>
        </w:rPr>
        <w:t xml:space="preserve">. Nie wnosi się opłat, których </w:t>
      </w:r>
      <w:r w:rsidRPr="00AE6F20">
        <w:rPr>
          <w:rFonts w:eastAsia="Times New Roman"/>
          <w:color w:val="000000" w:themeColor="text1"/>
        </w:rPr>
        <w:t xml:space="preserve">roczna wysokość wnoszona na </w:t>
      </w:r>
      <w:r>
        <w:rPr>
          <w:rFonts w:eastAsia="Times New Roman"/>
          <w:color w:val="000000" w:themeColor="text1"/>
        </w:rPr>
        <w:t>rachunek urzędu nie przekracza 8</w:t>
      </w:r>
      <w:r w:rsidRPr="00AE6F20">
        <w:rPr>
          <w:rFonts w:eastAsia="Times New Roman"/>
          <w:color w:val="000000" w:themeColor="text1"/>
        </w:rPr>
        <w:t>00 zł. Sejmik województwa może, w drodze aktu prawa miejscowego, uchwalić podwyższenie kwoty, o której mowa, jednak nie więcej niż do 50% - art. 289 ustawy z 27 kwietnia 2001 r. Prawo ochrony środowiska</w:t>
      </w:r>
      <w:r w:rsidR="00B26907">
        <w:rPr>
          <w:rFonts w:eastAsia="Times New Roman"/>
          <w:color w:val="000000" w:themeColor="text1"/>
        </w:rPr>
        <w:t>.</w:t>
      </w:r>
    </w:p>
    <w:p w:rsidR="00BF20DB" w:rsidRDefault="00BF20DB" w:rsidP="00DF5401">
      <w:pPr>
        <w:jc w:val="both"/>
      </w:pPr>
      <w:r w:rsidRPr="001505B4">
        <w:rPr>
          <w:b/>
        </w:rPr>
        <w:t>Przewodniczący Komisji</w:t>
      </w:r>
      <w:r>
        <w:t xml:space="preserve"> zapytał członków Komisji, czy mają uwagi do przedłożon</w:t>
      </w:r>
      <w:r w:rsidR="001505B4">
        <w:t>ej informacji</w:t>
      </w:r>
      <w:r>
        <w:t>?</w:t>
      </w:r>
    </w:p>
    <w:p w:rsidR="00BF20DB" w:rsidRDefault="00D53548" w:rsidP="00BF20DB">
      <w:pPr>
        <w:widowControl/>
        <w:suppressAutoHyphens w:val="0"/>
        <w:jc w:val="both"/>
      </w:pPr>
      <w:r w:rsidRPr="00D53548">
        <w:t xml:space="preserve">Wobec braku uwag Przewodniczący Komisji zapytał członków Komisji, kto jest </w:t>
      </w:r>
      <w:r w:rsidR="001505B4">
        <w:t xml:space="preserve">przyjęciem informacji </w:t>
      </w:r>
      <w:r w:rsidRPr="00D53548">
        <w:rPr>
          <w:rFonts w:eastAsia="Times New Roman"/>
        </w:rPr>
        <w:t>i przeprowadził procedurę głosowania</w:t>
      </w:r>
    </w:p>
    <w:p w:rsidR="00D53548" w:rsidRPr="00D53548" w:rsidRDefault="00D53548" w:rsidP="00BF20DB">
      <w:pPr>
        <w:widowControl/>
        <w:suppressAutoHyphens w:val="0"/>
        <w:jc w:val="both"/>
      </w:pPr>
      <w:r w:rsidRPr="00D53548">
        <w:t>Wyniki głosowania:</w:t>
      </w:r>
    </w:p>
    <w:p w:rsidR="00D53548" w:rsidRPr="00D53548" w:rsidRDefault="00D53548" w:rsidP="00D53548">
      <w:pPr>
        <w:jc w:val="both"/>
      </w:pPr>
      <w:r w:rsidRPr="00D53548">
        <w:t>Za-</w:t>
      </w:r>
      <w:r w:rsidR="00FA7D38">
        <w:t>2</w:t>
      </w:r>
    </w:p>
    <w:p w:rsidR="00D53548" w:rsidRPr="00D53548" w:rsidRDefault="00D53548" w:rsidP="00D53548">
      <w:pPr>
        <w:jc w:val="both"/>
      </w:pPr>
      <w:r w:rsidRPr="00D53548">
        <w:t>Przeciw-0</w:t>
      </w:r>
    </w:p>
    <w:p w:rsidR="00D53548" w:rsidRPr="00D53548" w:rsidRDefault="00D53548" w:rsidP="00D53548">
      <w:pPr>
        <w:jc w:val="both"/>
      </w:pPr>
      <w:r w:rsidRPr="00D53548">
        <w:t>Wstrzymało się-0</w:t>
      </w:r>
    </w:p>
    <w:p w:rsidR="00FA7D38" w:rsidRPr="00FA7D38" w:rsidRDefault="00D53548" w:rsidP="00FA7D38">
      <w:pPr>
        <w:widowControl/>
        <w:suppressAutoHyphens w:val="0"/>
        <w:jc w:val="both"/>
      </w:pPr>
      <w:r w:rsidRPr="00BF20DB">
        <w:t xml:space="preserve">Na podstawie przeprowadzonego głosowania Przewodniczący Komisji stwierdził, że </w:t>
      </w:r>
      <w:r w:rsidR="001505B4" w:rsidRPr="00FA7D38">
        <w:rPr>
          <w:rFonts w:eastAsia="Times New Roman"/>
          <w:szCs w:val="20"/>
        </w:rPr>
        <w:t xml:space="preserve">Informacja </w:t>
      </w:r>
      <w:r w:rsidR="00FA7D38" w:rsidRPr="00FA7D38">
        <w:rPr>
          <w:rFonts w:eastAsia="Times New Roman"/>
        </w:rPr>
        <w:t xml:space="preserve">na temat uregulowań prawnych poboru wód do </w:t>
      </w:r>
      <w:proofErr w:type="spellStart"/>
      <w:r w:rsidR="00FA7D38" w:rsidRPr="00FA7D38">
        <w:rPr>
          <w:rFonts w:eastAsia="Times New Roman"/>
        </w:rPr>
        <w:t>nawodnień</w:t>
      </w:r>
      <w:proofErr w:type="spellEnd"/>
      <w:r w:rsidR="00FA7D38" w:rsidRPr="00FA7D38">
        <w:rPr>
          <w:rFonts w:eastAsia="Times New Roman"/>
        </w:rPr>
        <w:t xml:space="preserve"> upraw rolnych. </w:t>
      </w:r>
    </w:p>
    <w:p w:rsidR="00BF20DB" w:rsidRPr="001505B4" w:rsidRDefault="001505B4" w:rsidP="00FA7D38">
      <w:pPr>
        <w:widowControl/>
        <w:suppressAutoHyphens w:val="0"/>
        <w:jc w:val="both"/>
      </w:pPr>
      <w:r>
        <w:rPr>
          <w:rFonts w:eastAsia="Times New Roman"/>
          <w:szCs w:val="20"/>
        </w:rPr>
        <w:t xml:space="preserve">została przyjęta. </w:t>
      </w:r>
    </w:p>
    <w:p w:rsidR="00FA7D38" w:rsidRPr="00FA7D38" w:rsidRDefault="001505B4" w:rsidP="00FA7D38">
      <w:pPr>
        <w:widowControl/>
        <w:suppressAutoHyphens w:val="0"/>
        <w:jc w:val="both"/>
        <w:rPr>
          <w:b/>
        </w:rPr>
      </w:pPr>
      <w:r w:rsidRPr="00FA7D38">
        <w:rPr>
          <w:rFonts w:eastAsia="Times New Roman"/>
          <w:szCs w:val="20"/>
        </w:rPr>
        <w:t xml:space="preserve">Informacja </w:t>
      </w:r>
      <w:r w:rsidR="00FA7D38" w:rsidRPr="00FA7D38">
        <w:rPr>
          <w:rFonts w:eastAsia="Times New Roman"/>
        </w:rPr>
        <w:t xml:space="preserve">na temat uregulowań prawnych poboru wód do </w:t>
      </w:r>
      <w:proofErr w:type="spellStart"/>
      <w:r w:rsidR="00FA7D38" w:rsidRPr="00FA7D38">
        <w:rPr>
          <w:rFonts w:eastAsia="Times New Roman"/>
        </w:rPr>
        <w:t>nawodnień</w:t>
      </w:r>
      <w:proofErr w:type="spellEnd"/>
      <w:r w:rsidR="00FA7D38" w:rsidRPr="00FA7D38">
        <w:rPr>
          <w:rFonts w:eastAsia="Times New Roman"/>
        </w:rPr>
        <w:t xml:space="preserve"> upraw rolnych.</w:t>
      </w:r>
      <w:r w:rsidR="00FA7D38" w:rsidRPr="00FA7D38">
        <w:rPr>
          <w:rFonts w:eastAsia="Times New Roman"/>
          <w:b/>
        </w:rPr>
        <w:t xml:space="preserve"> </w:t>
      </w:r>
    </w:p>
    <w:p w:rsidR="00D53548" w:rsidRPr="00BF20DB" w:rsidRDefault="00BF20DB" w:rsidP="00FA7D38">
      <w:pPr>
        <w:widowControl/>
        <w:suppressAutoHyphens w:val="0"/>
        <w:jc w:val="both"/>
      </w:pPr>
      <w:r w:rsidRPr="00BF20DB">
        <w:rPr>
          <w:rFonts w:eastAsia="Times New Roman"/>
          <w:color w:val="auto"/>
        </w:rPr>
        <w:t xml:space="preserve"> </w:t>
      </w:r>
      <w:r w:rsidR="00D53548" w:rsidRPr="00BF20DB">
        <w:rPr>
          <w:rFonts w:eastAsia="Times New Roman"/>
          <w:color w:val="auto"/>
        </w:rPr>
        <w:t xml:space="preserve">stanowi załącznik nr do niniejszego protokołu. </w:t>
      </w:r>
    </w:p>
    <w:p w:rsidR="00D53548" w:rsidRPr="00D53548" w:rsidRDefault="00D53548" w:rsidP="00FA7D38">
      <w:pPr>
        <w:widowControl/>
        <w:suppressAutoHyphens w:val="0"/>
        <w:jc w:val="both"/>
      </w:pPr>
    </w:p>
    <w:p w:rsidR="00FA7D38" w:rsidRPr="00FA7D38" w:rsidRDefault="00FA7D38" w:rsidP="00FA7D38">
      <w:pPr>
        <w:pStyle w:val="Akapitzlist"/>
        <w:widowControl/>
        <w:numPr>
          <w:ilvl w:val="0"/>
          <w:numId w:val="27"/>
        </w:numPr>
        <w:tabs>
          <w:tab w:val="left" w:pos="720"/>
        </w:tabs>
        <w:suppressAutoHyphens w:val="0"/>
        <w:ind w:left="360" w:firstLine="0"/>
        <w:jc w:val="both"/>
        <w:rPr>
          <w:b/>
          <w:color w:val="auto"/>
        </w:rPr>
      </w:pPr>
      <w:r w:rsidRPr="00FA7D38">
        <w:rPr>
          <w:rFonts w:eastAsia="Times New Roman"/>
          <w:b/>
        </w:rPr>
        <w:t>Informacja na temat działalności kół łowieckich na terenie powiatu włocławskiego</w:t>
      </w:r>
      <w:r w:rsidRPr="00FA7D38">
        <w:rPr>
          <w:b/>
        </w:rPr>
        <w:t>.</w:t>
      </w:r>
    </w:p>
    <w:p w:rsidR="00BF20DB" w:rsidRPr="00BF20DB" w:rsidRDefault="00BF20DB" w:rsidP="00BF20DB">
      <w:pPr>
        <w:jc w:val="both"/>
        <w:rPr>
          <w:b/>
        </w:rPr>
      </w:pPr>
    </w:p>
    <w:p w:rsidR="00F060A9" w:rsidRDefault="00DE349C" w:rsidP="00FA7D38">
      <w:pPr>
        <w:pStyle w:val="Zawartotabeli"/>
        <w:jc w:val="both"/>
      </w:pPr>
      <w:r w:rsidRPr="00DE349C">
        <w:rPr>
          <w:b/>
        </w:rPr>
        <w:t xml:space="preserve">Przewodniczący Komisji </w:t>
      </w:r>
      <w:r w:rsidRPr="00CE1D2F">
        <w:t>poinfo</w:t>
      </w:r>
      <w:r w:rsidR="00D53548">
        <w:t>rmował członków Komisji, ż</w:t>
      </w:r>
      <w:r w:rsidR="00EA37CE" w:rsidRPr="00CE1D2F">
        <w:t xml:space="preserve">e na </w:t>
      </w:r>
      <w:r w:rsidRPr="00CE1D2F">
        <w:t>posiedzeniu obecn</w:t>
      </w:r>
      <w:r w:rsidR="00D53548">
        <w:t>y</w:t>
      </w:r>
      <w:r w:rsidRPr="00CE1D2F">
        <w:t xml:space="preserve"> </w:t>
      </w:r>
      <w:r w:rsidR="00C50A74">
        <w:t xml:space="preserve">jest Pan </w:t>
      </w:r>
      <w:r w:rsidR="00FA7D38">
        <w:t>Grzegorz Wiśniewski Łowczy Okręgowy. Przewodniczący Komisji poprosił Pana Łowczego o przedstawienie tematu.</w:t>
      </w:r>
    </w:p>
    <w:p w:rsidR="00FA7D38" w:rsidRDefault="00FA7D38" w:rsidP="00FA7D38">
      <w:pPr>
        <w:pStyle w:val="Zawartotabeli"/>
        <w:jc w:val="both"/>
      </w:pPr>
      <w:r w:rsidRPr="009B2C10">
        <w:rPr>
          <w:b/>
        </w:rPr>
        <w:t>Pan Grzegorz Wiśniewski – Łowczy Okręgowy</w:t>
      </w:r>
      <w:r>
        <w:t xml:space="preserve"> poinformował, że </w:t>
      </w:r>
      <w:r w:rsidR="005C35B1">
        <w:t xml:space="preserve">na terenie miasta i powiatu włocławskiego  w Polskim Związku Łowieckim aktualnie zarejestrowanych </w:t>
      </w:r>
      <w:proofErr w:type="spellStart"/>
      <w:r w:rsidR="005C35B1">
        <w:t>jets</w:t>
      </w:r>
      <w:proofErr w:type="spellEnd"/>
      <w:r w:rsidR="005C35B1">
        <w:t xml:space="preserve"> 16 kół łowieckich tzw. Macierzystych i 2 koła łowieckie tzw. Niemacierzyste (z Warszawy) zrzeszające 570 członków, które dzierżawią łącznie 29 obwodów łowieckich, w tym na terenie powiatu włocławskiego 23 obwody. Gospodarka na terenie wszystkich  obwodów łowieckich jest prowadzona w oparciu o </w:t>
      </w:r>
      <w:r w:rsidR="007A6526">
        <w:t>Wieloletnie</w:t>
      </w:r>
      <w:r w:rsidR="005C35B1">
        <w:t xml:space="preserve"> Łowieckie Plany Hodowlane </w:t>
      </w:r>
      <w:r w:rsidR="007A6526">
        <w:t xml:space="preserve">(opracowane przez Dyrektorów RDLP z Łodzi, Poznania i Torunia w zależności od przynależności obwodu do rejonu hodowlanego, w uzgodnieniu z Zarządem Województwa Kujawsko-Pomorskiego w Toruniu i ZOPZŁ we Włocławku) i Roczne Plany Łowieckie (opiniowane przez wójtów i burmistrzów , uzgadniane z ZOPZŁ we Włocławku i zatwierdzone przez nadleśniczych). Gospodarka łowiecka prowadzona jest na terenie 23 obwodów łowieckich, których łączna powierzchnia wynosi: powierzchnia ogólna obwodów – 142 178 ha, w tym powierzchnia leśna 26 689 ha, powierzchnia użytkowa 134 519 h. rok </w:t>
      </w:r>
      <w:r w:rsidR="007A6526">
        <w:lastRenderedPageBreak/>
        <w:t xml:space="preserve">gospodarczy w zakresie łowiectwa trwa od dnia 01 kwietnia danego roku do 31 marca roku następnego i wszelka sprawozdawczość dotycząca zwierzyny sporządzona jest corocznie za taki okres czasu. </w:t>
      </w:r>
      <w:r w:rsidR="006F1438">
        <w:t xml:space="preserve">Stan zagospodarowania obwodów łowieckich , w oparciu o obowiązujące w tym zakresie parametry planistyczne należy uznać za dobry.  Liczba strażników łowieckich kół łowieckich to 25 osób. Jeśli chodzi o urządzenia związane z prowadzeniem gospodarki łowieckiej w tym: paśniki -373, lizawki – 08, ambony – 666, zagrody – 15, inne urządzenia – 146 ( są to urządzenia do dokarmiania dzików). </w:t>
      </w:r>
      <w:r w:rsidR="008C457D">
        <w:t xml:space="preserve">Poletka łowiecki – obszary obsiane lub obsadzone przez koła łowieckie roślinami stanowiącymi naturalny żer dla zwierzyny na pniu – 6,43 ha.  Pasy zaporowe – powierzchnie wewnątrz lasu na których stale jest wykładana karma w celu ograniczenia wychodzenia zwierzyny na pola – 15szt. </w:t>
      </w:r>
      <w:r w:rsidR="00E14386">
        <w:t>t</w:t>
      </w:r>
      <w:r w:rsidR="008C457D">
        <w:t xml:space="preserve">j. 2,40 km. </w:t>
      </w:r>
      <w:r w:rsidR="00E14386">
        <w:t>Zagospodarowane łąki śródleśne i przyleśne – 45,50 ha</w:t>
      </w:r>
      <w:r w:rsidR="00A52000">
        <w:t>. Kar</w:t>
      </w:r>
      <w:r w:rsidR="00A9164A">
        <w:t>ma</w:t>
      </w:r>
      <w:r w:rsidR="00A52000">
        <w:t xml:space="preserve"> wyłożona dla zwierzyny, w tym: objętościowa sucha (siano, liściarka) – 59,35 ton, objętościowa soczysta (buraki, marchew, ziemniaki) – 451,75 ton, treściwa (zboża, mieszanki paszowe) – 264,05 ton, sól – 9,21 ton. </w:t>
      </w:r>
      <w:r w:rsidR="002D5AB3">
        <w:t xml:space="preserve">Powierzchnia zredukowana upraw rolnych uszkodzonych przez zwierzęta łowne (dziki, jelenie, sarny) – 37,40 ha. Kwota wypłaconych odszkodowań – 68,70 tys. zł. </w:t>
      </w:r>
      <w:r w:rsidR="008C457D">
        <w:t xml:space="preserve"> </w:t>
      </w:r>
      <w:r w:rsidR="006F1438">
        <w:t>Łowczy poinformował, że jeśli chodzi o pozyskanie</w:t>
      </w:r>
      <w:r w:rsidR="00501291">
        <w:t xml:space="preserve"> zwierzyny to: jeleń – 15 </w:t>
      </w:r>
      <w:proofErr w:type="spellStart"/>
      <w:r w:rsidR="00501291">
        <w:t>szt</w:t>
      </w:r>
      <w:proofErr w:type="spellEnd"/>
      <w:r w:rsidR="00501291">
        <w:t xml:space="preserve">, sarna – 567 </w:t>
      </w:r>
      <w:proofErr w:type="spellStart"/>
      <w:r w:rsidR="00501291">
        <w:t>szt</w:t>
      </w:r>
      <w:proofErr w:type="spellEnd"/>
      <w:r w:rsidR="00501291">
        <w:t xml:space="preserve">, dzik – 451 </w:t>
      </w:r>
      <w:proofErr w:type="spellStart"/>
      <w:r w:rsidR="00501291">
        <w:t>szt</w:t>
      </w:r>
      <w:proofErr w:type="spellEnd"/>
      <w:r w:rsidR="00501291">
        <w:t xml:space="preserve">, lis – 509 szt. Natomiast jeśli chodzi </w:t>
      </w:r>
      <w:r w:rsidR="00140D9B">
        <w:t xml:space="preserve">wysiedlenia to dziki królik 2 175 szt., bażant – 1380 szt. </w:t>
      </w:r>
    </w:p>
    <w:p w:rsidR="00140D9B" w:rsidRDefault="00140D9B" w:rsidP="00FA7D38">
      <w:pPr>
        <w:pStyle w:val="Zawartotabeli"/>
        <w:jc w:val="both"/>
      </w:pPr>
      <w:r w:rsidRPr="00140D9B">
        <w:rPr>
          <w:b/>
        </w:rPr>
        <w:t>Przewodniczący Komisji</w:t>
      </w:r>
      <w:r>
        <w:t xml:space="preserve"> otworzył dyskusję.</w:t>
      </w:r>
    </w:p>
    <w:p w:rsidR="00140D9B" w:rsidRDefault="00140D9B" w:rsidP="00FA7D38">
      <w:pPr>
        <w:pStyle w:val="Zawartotabeli"/>
        <w:jc w:val="both"/>
      </w:pPr>
      <w:r w:rsidRPr="00140D9B">
        <w:rPr>
          <w:b/>
        </w:rPr>
        <w:t>Naczelnik Wydziału Ochrony Środowiska i Administracji Budowlanej</w:t>
      </w:r>
      <w:r>
        <w:t xml:space="preserve"> poinformował, że często bywają takie sytuacje, że dzik lub sarna uszkadzają samochód. Naczelnik zapytał jakie są procedury w postepowaniu ze zwierzyną, która uległa wypadkowi?</w:t>
      </w:r>
    </w:p>
    <w:p w:rsidR="00140D9B" w:rsidRDefault="00140D9B" w:rsidP="00FA7D38">
      <w:pPr>
        <w:pStyle w:val="Zawartotabeli"/>
        <w:jc w:val="both"/>
      </w:pPr>
      <w:r w:rsidRPr="00140D9B">
        <w:rPr>
          <w:b/>
        </w:rPr>
        <w:t>Łowczy Okręgowy</w:t>
      </w:r>
      <w:r>
        <w:t xml:space="preserve"> odpowiedział, że zwierzyna w stanie wolnym stanowi własność Skarbu Państwa i za </w:t>
      </w:r>
      <w:r w:rsidR="00ED3F52">
        <w:t>szkodę</w:t>
      </w:r>
      <w:r>
        <w:t xml:space="preserve"> powinien odpowiadać Skarb Państwa chyba, że właściciel ma wykupione Autocasco.  Łowczy nie słyszał w Polsce o takim przypadku, żeby komuś udało wywalczyć </w:t>
      </w:r>
      <w:r w:rsidR="00ED3F52">
        <w:t>się</w:t>
      </w:r>
      <w:r>
        <w:t xml:space="preserve"> takie odszkodowanie od Skarbu Państwa. W 2004 r. </w:t>
      </w:r>
      <w:r w:rsidR="00ED3F52">
        <w:t>znowelizowano</w:t>
      </w:r>
      <w:r>
        <w:t xml:space="preserve"> ustawę </w:t>
      </w:r>
      <w:r w:rsidR="00ED3F52">
        <w:t>Prawo</w:t>
      </w:r>
      <w:r>
        <w:t xml:space="preserve"> Łowieckie i wstawiono</w:t>
      </w:r>
      <w:r w:rsidR="00ED3F52">
        <w:t xml:space="preserve"> </w:t>
      </w:r>
      <w:r>
        <w:t xml:space="preserve">zapis stanowiący, że PZŁ </w:t>
      </w:r>
      <w:r w:rsidR="00ED3F52">
        <w:t>odpowiada</w:t>
      </w:r>
      <w:r>
        <w:t xml:space="preserve"> te przypadki, kiedy zwierzyna została </w:t>
      </w:r>
      <w:r w:rsidR="00ED3F52">
        <w:t>wypędzona</w:t>
      </w:r>
      <w:r>
        <w:t xml:space="preserve"> podczas polowań. </w:t>
      </w:r>
      <w:r w:rsidR="00ED3F52">
        <w:t xml:space="preserve">Jeśli chodzi o zwierzynę , która padnie w trakcie kolizji funkcjonariusz ma powiadomić właściciela drogi, właściciel drogi ma dojechać usunąć zwierzynę na pobocze a wójt/burmistrz gminy ma zająć się utylizacją. Problem stanowi zwierzyna ranna. Zgodnie z ustawa o ochronie zwierząt myśliwy ma obowiązek dostrzelenia zwierzyny w celu skrócenia cierpień zwierzyny, taki obowiązek ma funkcjonariusz policji, funkcjonariusz straży miejskiej. </w:t>
      </w:r>
    </w:p>
    <w:p w:rsidR="003E3CD8" w:rsidRDefault="003E3CD8" w:rsidP="0076566D">
      <w:pPr>
        <w:widowControl/>
        <w:suppressAutoHyphens w:val="0"/>
        <w:jc w:val="both"/>
      </w:pPr>
      <w:r>
        <w:t>Przewodniczący Komisji zapytał członków komisji, czy mają pytania lub uwagi?</w:t>
      </w:r>
    </w:p>
    <w:p w:rsidR="0089020C" w:rsidRPr="00C14BB0" w:rsidRDefault="00C23F92" w:rsidP="0076566D">
      <w:pPr>
        <w:widowControl/>
        <w:suppressAutoHyphens w:val="0"/>
        <w:jc w:val="both"/>
      </w:pPr>
      <w:r>
        <w:t>Wobec braku</w:t>
      </w:r>
      <w:r w:rsidR="00992B18">
        <w:t xml:space="preserve"> uwag</w:t>
      </w:r>
      <w:r w:rsidR="0089020C" w:rsidRPr="00C14BB0">
        <w:t xml:space="preserve"> </w:t>
      </w:r>
      <w:r w:rsidR="0089020C" w:rsidRPr="009B2C10">
        <w:rPr>
          <w:b/>
        </w:rPr>
        <w:t>Przewodniczący Komisji</w:t>
      </w:r>
      <w:r w:rsidR="0089020C" w:rsidRPr="00C14BB0">
        <w:t xml:space="preserve"> zapytał członków Komisji, kto jest za przyjęciem informacji </w:t>
      </w:r>
      <w:r w:rsidR="009B2C10">
        <w:rPr>
          <w:rFonts w:eastAsia="Times New Roman"/>
          <w:szCs w:val="20"/>
        </w:rPr>
        <w:t>na temat działalności kół łowieckich na terenie powiatu włocławskiego</w:t>
      </w:r>
      <w:r w:rsidR="00D3123D" w:rsidRPr="006D5CCC">
        <w:br/>
      </w:r>
      <w:r w:rsidR="0089020C" w:rsidRPr="00C14BB0">
        <w:t>i przeprowadził procedurę głosowania.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t>Wyniki głosowania: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t>Za-3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t>Przeciw-0</w:t>
      </w:r>
    </w:p>
    <w:p w:rsidR="0089020C" w:rsidRPr="00C14BB0" w:rsidRDefault="0089020C" w:rsidP="0076566D">
      <w:pPr>
        <w:widowControl/>
        <w:suppressAutoHyphens w:val="0"/>
        <w:jc w:val="both"/>
      </w:pPr>
      <w:r w:rsidRPr="00C14BB0">
        <w:t>Wstrzymało się-0</w:t>
      </w:r>
    </w:p>
    <w:p w:rsidR="005463FC" w:rsidRDefault="0089020C" w:rsidP="0076566D">
      <w:pPr>
        <w:widowControl/>
        <w:suppressAutoHyphens w:val="0"/>
        <w:jc w:val="both"/>
        <w:rPr>
          <w:rFonts w:eastAsia="Times New Roman"/>
          <w:b/>
          <w:szCs w:val="20"/>
        </w:rPr>
      </w:pPr>
      <w:r w:rsidRPr="00C14BB0">
        <w:t xml:space="preserve">Na podstawie przeprowadzonego głosowania Przewodniczący Komisji stwierdził, </w:t>
      </w:r>
      <w:r w:rsidR="00C14BB0" w:rsidRPr="00C14BB0">
        <w:t>ż</w:t>
      </w:r>
      <w:r w:rsidRPr="00C14BB0">
        <w:t xml:space="preserve">e Komisja pozytywnie zaopiniowała informację </w:t>
      </w:r>
      <w:r w:rsidR="009B2C10">
        <w:rPr>
          <w:rFonts w:eastAsia="Times New Roman"/>
          <w:szCs w:val="20"/>
        </w:rPr>
        <w:t xml:space="preserve">na temat działalności kół łowieckich na terenie powiatu włocławskiego. </w:t>
      </w:r>
      <w:r w:rsidR="005463FC" w:rsidRPr="001505B4">
        <w:rPr>
          <w:rFonts w:eastAsia="Times New Roman"/>
          <w:b/>
          <w:szCs w:val="20"/>
        </w:rPr>
        <w:t xml:space="preserve"> </w:t>
      </w:r>
    </w:p>
    <w:p w:rsidR="0089020C" w:rsidRPr="00C14BB0" w:rsidRDefault="005463FC" w:rsidP="0076566D">
      <w:pPr>
        <w:widowControl/>
        <w:suppressAutoHyphens w:val="0"/>
        <w:jc w:val="both"/>
      </w:pPr>
      <w:r w:rsidRPr="005463FC">
        <w:rPr>
          <w:rFonts w:eastAsia="Times New Roman"/>
          <w:szCs w:val="20"/>
        </w:rPr>
        <w:t xml:space="preserve">Informacja </w:t>
      </w:r>
      <w:r w:rsidR="009B2C10">
        <w:rPr>
          <w:rFonts w:eastAsia="Times New Roman"/>
          <w:szCs w:val="20"/>
        </w:rPr>
        <w:t>na temat działalności kół łowieckich na terenie powiatu włocławskiego</w:t>
      </w:r>
      <w:r w:rsidR="00C14BB0" w:rsidRPr="00C14BB0">
        <w:t xml:space="preserve"> </w:t>
      </w:r>
      <w:r w:rsidR="0089020C" w:rsidRPr="00C14BB0">
        <w:t xml:space="preserve">stanowi załącznik nr </w:t>
      </w:r>
      <w:r w:rsidR="009B0958" w:rsidRPr="00C14BB0">
        <w:t>4</w:t>
      </w:r>
      <w:r w:rsidR="00D05BE2" w:rsidRPr="00C14BB0">
        <w:t xml:space="preserve"> </w:t>
      </w:r>
      <w:r w:rsidR="0089020C" w:rsidRPr="00C14BB0">
        <w:t xml:space="preserve">do niniejszego protokołu. </w:t>
      </w:r>
    </w:p>
    <w:p w:rsidR="004E001B" w:rsidRDefault="004E001B" w:rsidP="00D41F90">
      <w:pPr>
        <w:widowControl/>
        <w:suppressAutoHyphens w:val="0"/>
        <w:jc w:val="both"/>
      </w:pPr>
    </w:p>
    <w:p w:rsidR="00234941" w:rsidRPr="00596F0A" w:rsidRDefault="00234941" w:rsidP="004E001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Pr="0089020C" w:rsidRDefault="0089020C" w:rsidP="00381AA5">
      <w:pPr>
        <w:widowControl/>
        <w:suppressAutoHyphens w:val="0"/>
        <w:jc w:val="both"/>
      </w:pPr>
      <w:r w:rsidRPr="0089020C">
        <w:t>Przewodniczący Komisji zapytał członków Komisji, czy mają sprawy, które należałoby poruszyć w tym punkcie?</w:t>
      </w:r>
    </w:p>
    <w:p w:rsidR="009B6375" w:rsidRDefault="005463FC" w:rsidP="00B22082">
      <w:pPr>
        <w:jc w:val="both"/>
      </w:pPr>
      <w:r>
        <w:lastRenderedPageBreak/>
        <w:t xml:space="preserve">Nie było żadnych głosów. </w:t>
      </w:r>
    </w:p>
    <w:p w:rsidR="005463FC" w:rsidRDefault="005463FC" w:rsidP="00B22082">
      <w:pPr>
        <w:jc w:val="both"/>
      </w:pPr>
    </w:p>
    <w:p w:rsidR="00381AA5" w:rsidRPr="009B6375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  <w:r w:rsidR="009B6375">
        <w:rPr>
          <w:b/>
        </w:rPr>
        <w:t>.</w:t>
      </w:r>
    </w:p>
    <w:p w:rsidR="00381AA5" w:rsidRPr="00596F0A" w:rsidRDefault="00381AA5" w:rsidP="00381AA5">
      <w:pPr>
        <w:jc w:val="both"/>
      </w:pPr>
      <w:r w:rsidRPr="00596F0A">
        <w:rPr>
          <w:b/>
        </w:rPr>
        <w:t>Przewodnicząc</w:t>
      </w:r>
      <w:r w:rsidR="004E001B" w:rsidRPr="00596F0A">
        <w:rPr>
          <w:b/>
        </w:rPr>
        <w:t>y</w:t>
      </w:r>
      <w:r w:rsidRPr="00596F0A">
        <w:rPr>
          <w:b/>
        </w:rPr>
        <w:t xml:space="preserve"> Komisji</w:t>
      </w:r>
      <w:r w:rsidRPr="00596F0A">
        <w:t xml:space="preserve"> w związku ze zrealizowaniem porządku obrad dokonał dnia </w:t>
      </w:r>
      <w:r w:rsidR="005463FC">
        <w:t xml:space="preserve">17 </w:t>
      </w:r>
      <w:r w:rsidR="006E273B">
        <w:t>września</w:t>
      </w:r>
      <w:r w:rsidR="005463FC">
        <w:t xml:space="preserve"> </w:t>
      </w:r>
      <w:r w:rsidR="0098077E">
        <w:t xml:space="preserve"> 2013</w:t>
      </w:r>
      <w:r w:rsidRPr="00596F0A">
        <w:t xml:space="preserve"> roku o godzinie</w:t>
      </w:r>
      <w:r w:rsidR="004E001B" w:rsidRPr="00596F0A">
        <w:t xml:space="preserve"> </w:t>
      </w:r>
      <w:r w:rsidR="006E273B">
        <w:t>15</w:t>
      </w:r>
      <w:bookmarkStart w:id="0" w:name="_GoBack"/>
      <w:bookmarkEnd w:id="0"/>
      <w:r w:rsidR="006E273B">
        <w:t>:00</w:t>
      </w:r>
      <w:r w:rsidRPr="00596F0A">
        <w:t xml:space="preserve">  zamknięcia obrad Komisji </w:t>
      </w:r>
      <w:r w:rsidR="000346DA">
        <w:t xml:space="preserve">Rolnictwa. </w:t>
      </w:r>
    </w:p>
    <w:p w:rsidR="00381AA5" w:rsidRPr="00596F0A" w:rsidRDefault="00381AA5" w:rsidP="00381AA5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</w:t>
      </w:r>
      <w:r w:rsidR="00381AA5" w:rsidRPr="00596F0A">
        <w:rPr>
          <w:i/>
        </w:rPr>
        <w:t>Przewodnicząc</w:t>
      </w:r>
      <w:r w:rsidR="004E001B" w:rsidRPr="00596F0A">
        <w:rPr>
          <w:i/>
        </w:rPr>
        <w:t>y</w:t>
      </w:r>
      <w:r w:rsidR="00381AA5" w:rsidRPr="00596F0A">
        <w:rPr>
          <w:i/>
        </w:rPr>
        <w:t xml:space="preserve"> Komisji </w:t>
      </w:r>
    </w:p>
    <w:p w:rsidR="00381AA5" w:rsidRPr="00596F0A" w:rsidRDefault="000346DA" w:rsidP="00381AA5">
      <w:pPr>
        <w:ind w:firstLine="5220"/>
        <w:jc w:val="both"/>
        <w:rPr>
          <w:i/>
        </w:rPr>
      </w:pPr>
      <w:r>
        <w:rPr>
          <w:i/>
        </w:rPr>
        <w:t xml:space="preserve">                Rolnictwa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   </w:t>
      </w:r>
      <w:r w:rsidR="000346DA">
        <w:rPr>
          <w:i/>
        </w:rPr>
        <w:t>Marek Dorabiała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179C0" w:rsidRDefault="00D179C0" w:rsidP="00D05BE2">
      <w:pPr>
        <w:ind w:firstLine="180"/>
        <w:rPr>
          <w:i/>
        </w:rPr>
      </w:pP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Ze Starostwa Powiatowego protokołowała:</w:t>
      </w: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Marta Szarecka ………………………………..</w:t>
      </w:r>
    </w:p>
    <w:sectPr w:rsidR="001E7A74" w:rsidRPr="00596F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8C" w:rsidRDefault="00F7588C" w:rsidP="00D179C0">
      <w:r>
        <w:separator/>
      </w:r>
    </w:p>
  </w:endnote>
  <w:endnote w:type="continuationSeparator" w:id="0">
    <w:p w:rsidR="00F7588C" w:rsidRDefault="00F7588C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974C3E" w:rsidRDefault="00974C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3B">
          <w:rPr>
            <w:noProof/>
          </w:rPr>
          <w:t>10</w:t>
        </w:r>
        <w:r>
          <w:fldChar w:fldCharType="end"/>
        </w:r>
      </w:p>
    </w:sdtContent>
  </w:sdt>
  <w:p w:rsidR="00974C3E" w:rsidRDefault="00974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8C" w:rsidRDefault="00F7588C" w:rsidP="00D179C0">
      <w:r>
        <w:separator/>
      </w:r>
    </w:p>
  </w:footnote>
  <w:footnote w:type="continuationSeparator" w:id="0">
    <w:p w:rsidR="00F7588C" w:rsidRDefault="00F7588C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E8D"/>
    <w:multiLevelType w:val="hybridMultilevel"/>
    <w:tmpl w:val="31A6FCBE"/>
    <w:lvl w:ilvl="0" w:tplc="4D5C1AB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89C"/>
    <w:multiLevelType w:val="hybridMultilevel"/>
    <w:tmpl w:val="541E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0314"/>
    <w:multiLevelType w:val="hybridMultilevel"/>
    <w:tmpl w:val="69F6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316"/>
    <w:multiLevelType w:val="hybridMultilevel"/>
    <w:tmpl w:val="4A66BA2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44EA0"/>
    <w:multiLevelType w:val="multilevel"/>
    <w:tmpl w:val="441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925C0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C7F7530"/>
    <w:multiLevelType w:val="hybridMultilevel"/>
    <w:tmpl w:val="E6BAF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66DBF"/>
    <w:multiLevelType w:val="hybridMultilevel"/>
    <w:tmpl w:val="21BE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3E27"/>
    <w:multiLevelType w:val="multilevel"/>
    <w:tmpl w:val="60203F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676DA"/>
    <w:multiLevelType w:val="multilevel"/>
    <w:tmpl w:val="BAD4DA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C626C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1600BBF"/>
    <w:multiLevelType w:val="multilevel"/>
    <w:tmpl w:val="816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E7215"/>
    <w:multiLevelType w:val="multilevel"/>
    <w:tmpl w:val="BA6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75705"/>
    <w:multiLevelType w:val="multilevel"/>
    <w:tmpl w:val="3DFE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010CE"/>
    <w:multiLevelType w:val="multilevel"/>
    <w:tmpl w:val="D2FCCD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1329D"/>
    <w:multiLevelType w:val="multilevel"/>
    <w:tmpl w:val="E6F6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D3438"/>
    <w:multiLevelType w:val="singleLevel"/>
    <w:tmpl w:val="3686164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7">
    <w:nsid w:val="361A4DA7"/>
    <w:multiLevelType w:val="multilevel"/>
    <w:tmpl w:val="AE5EC9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B134D"/>
    <w:multiLevelType w:val="hybridMultilevel"/>
    <w:tmpl w:val="3650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E6530"/>
    <w:multiLevelType w:val="multilevel"/>
    <w:tmpl w:val="6B5A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933B1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0106505"/>
    <w:multiLevelType w:val="hybridMultilevel"/>
    <w:tmpl w:val="5A108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22EBA"/>
    <w:multiLevelType w:val="multilevel"/>
    <w:tmpl w:val="B94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733056"/>
    <w:multiLevelType w:val="multilevel"/>
    <w:tmpl w:val="446A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F2AF4"/>
    <w:multiLevelType w:val="multilevel"/>
    <w:tmpl w:val="1B32C3A4"/>
    <w:numStyleLink w:val="WW8Num2"/>
  </w:abstractNum>
  <w:abstractNum w:abstractNumId="26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3DF5004"/>
    <w:multiLevelType w:val="multilevel"/>
    <w:tmpl w:val="1B32C3A4"/>
    <w:numStyleLink w:val="WW8Num2"/>
  </w:abstractNum>
  <w:abstractNum w:abstractNumId="28">
    <w:nsid w:val="58B02939"/>
    <w:multiLevelType w:val="hybridMultilevel"/>
    <w:tmpl w:val="2F92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07411"/>
    <w:multiLevelType w:val="multilevel"/>
    <w:tmpl w:val="F85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A15B80"/>
    <w:multiLevelType w:val="multilevel"/>
    <w:tmpl w:val="EB6A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F611F"/>
    <w:multiLevelType w:val="hybridMultilevel"/>
    <w:tmpl w:val="712E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45CE3"/>
    <w:multiLevelType w:val="hybridMultilevel"/>
    <w:tmpl w:val="8BE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0444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4B7FCE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C177E64"/>
    <w:multiLevelType w:val="hybridMultilevel"/>
    <w:tmpl w:val="26783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D5FC4"/>
    <w:multiLevelType w:val="multilevel"/>
    <w:tmpl w:val="3C3A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3477F6"/>
    <w:multiLevelType w:val="multilevel"/>
    <w:tmpl w:val="1B32C3A4"/>
    <w:numStyleLink w:val="WW8Num2"/>
  </w:abstractNum>
  <w:abstractNum w:abstractNumId="39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6C1C"/>
    <w:multiLevelType w:val="multilevel"/>
    <w:tmpl w:val="856A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F122C9"/>
    <w:multiLevelType w:val="multilevel"/>
    <w:tmpl w:val="79EEFF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2">
    <w:nsid w:val="76817767"/>
    <w:multiLevelType w:val="hybridMultilevel"/>
    <w:tmpl w:val="14E0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C1203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7D2E1D8C"/>
    <w:multiLevelType w:val="multilevel"/>
    <w:tmpl w:val="1B32C3A4"/>
    <w:numStyleLink w:val="WW8Num2"/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4"/>
  </w:num>
  <w:num w:numId="6">
    <w:abstractNumId w:val="2"/>
  </w:num>
  <w:num w:numId="7">
    <w:abstractNumId w:val="6"/>
  </w:num>
  <w:num w:numId="8">
    <w:abstractNumId w:val="36"/>
  </w:num>
  <w:num w:numId="9">
    <w:abstractNumId w:val="39"/>
  </w:num>
  <w:num w:numId="10">
    <w:abstractNumId w:val="28"/>
  </w:num>
  <w:num w:numId="11">
    <w:abstractNumId w:val="0"/>
  </w:num>
  <w:num w:numId="12">
    <w:abstractNumId w:val="1"/>
  </w:num>
  <w:num w:numId="13">
    <w:abstractNumId w:val="18"/>
  </w:num>
  <w:num w:numId="14">
    <w:abstractNumId w:val="21"/>
  </w:num>
  <w:num w:numId="15">
    <w:abstractNumId w:val="31"/>
  </w:num>
  <w:num w:numId="16">
    <w:abstractNumId w:val="26"/>
  </w:num>
  <w:num w:numId="17">
    <w:abstractNumId w:val="26"/>
    <w:lvlOverride w:ilvl="0">
      <w:startOverride w:val="1"/>
    </w:lvlOverride>
  </w:num>
  <w:num w:numId="18">
    <w:abstractNumId w:val="42"/>
  </w:num>
  <w:num w:numId="19">
    <w:abstractNumId w:val="32"/>
  </w:num>
  <w:num w:numId="20">
    <w:abstractNumId w:val="7"/>
  </w:num>
  <w:num w:numId="21">
    <w:abstractNumId w:val="20"/>
  </w:num>
  <w:num w:numId="22">
    <w:abstractNumId w:val="23"/>
  </w:num>
  <w:num w:numId="23">
    <w:abstractNumId w:val="10"/>
  </w:num>
  <w:num w:numId="24">
    <w:abstractNumId w:val="44"/>
  </w:num>
  <w:num w:numId="25">
    <w:abstractNumId w:val="27"/>
  </w:num>
  <w:num w:numId="26">
    <w:abstractNumId w:val="38"/>
  </w:num>
  <w:num w:numId="27">
    <w:abstractNumId w:val="41"/>
  </w:num>
  <w:num w:numId="28">
    <w:abstractNumId w:val="25"/>
  </w:num>
  <w:num w:numId="29">
    <w:abstractNumId w:val="16"/>
    <w:lvlOverride w:ilvl="0">
      <w:startOverride w:val="5"/>
    </w:lvlOverride>
  </w:num>
  <w:num w:numId="30">
    <w:abstractNumId w:val="24"/>
  </w:num>
  <w:num w:numId="31">
    <w:abstractNumId w:val="11"/>
  </w:num>
  <w:num w:numId="32">
    <w:abstractNumId w:val="37"/>
  </w:num>
  <w:num w:numId="33">
    <w:abstractNumId w:val="5"/>
  </w:num>
  <w:num w:numId="34">
    <w:abstractNumId w:val="33"/>
  </w:num>
  <w:num w:numId="35">
    <w:abstractNumId w:val="35"/>
  </w:num>
  <w:num w:numId="36">
    <w:abstractNumId w:val="43"/>
  </w:num>
  <w:num w:numId="37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12"/>
  </w:num>
  <w:num w:numId="43">
    <w:abstractNumId w:val="40"/>
  </w:num>
  <w:num w:numId="44">
    <w:abstractNumId w:val="15"/>
  </w:num>
  <w:num w:numId="45">
    <w:abstractNumId w:val="30"/>
  </w:num>
  <w:num w:numId="46">
    <w:abstractNumId w:val="14"/>
  </w:num>
  <w:num w:numId="47">
    <w:abstractNumId w:val="9"/>
  </w:num>
  <w:num w:numId="48">
    <w:abstractNumId w:val="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5156"/>
    <w:rsid w:val="00014CF0"/>
    <w:rsid w:val="00016DBE"/>
    <w:rsid w:val="00017FB8"/>
    <w:rsid w:val="00033ADC"/>
    <w:rsid w:val="00034282"/>
    <w:rsid w:val="000346DA"/>
    <w:rsid w:val="0004507C"/>
    <w:rsid w:val="000502C6"/>
    <w:rsid w:val="000562A6"/>
    <w:rsid w:val="000573F8"/>
    <w:rsid w:val="000640E2"/>
    <w:rsid w:val="00070B56"/>
    <w:rsid w:val="00080006"/>
    <w:rsid w:val="000802A2"/>
    <w:rsid w:val="0008231A"/>
    <w:rsid w:val="0008490F"/>
    <w:rsid w:val="000C1FEB"/>
    <w:rsid w:val="000D13D2"/>
    <w:rsid w:val="00110E18"/>
    <w:rsid w:val="00116BF7"/>
    <w:rsid w:val="00126105"/>
    <w:rsid w:val="00137B56"/>
    <w:rsid w:val="00140D9B"/>
    <w:rsid w:val="001505B4"/>
    <w:rsid w:val="00170AD0"/>
    <w:rsid w:val="001724BF"/>
    <w:rsid w:val="001947AE"/>
    <w:rsid w:val="001B241B"/>
    <w:rsid w:val="001B3D40"/>
    <w:rsid w:val="001C60F4"/>
    <w:rsid w:val="001D760A"/>
    <w:rsid w:val="001E0626"/>
    <w:rsid w:val="001E7A74"/>
    <w:rsid w:val="001E7F62"/>
    <w:rsid w:val="001F1457"/>
    <w:rsid w:val="001F5A9B"/>
    <w:rsid w:val="00222D64"/>
    <w:rsid w:val="00224D50"/>
    <w:rsid w:val="00233935"/>
    <w:rsid w:val="00234941"/>
    <w:rsid w:val="00246ED9"/>
    <w:rsid w:val="002527D3"/>
    <w:rsid w:val="002627C8"/>
    <w:rsid w:val="00271F9E"/>
    <w:rsid w:val="00277AF2"/>
    <w:rsid w:val="002A314E"/>
    <w:rsid w:val="002C37F9"/>
    <w:rsid w:val="002D109B"/>
    <w:rsid w:val="002D5AB3"/>
    <w:rsid w:val="002E7AFB"/>
    <w:rsid w:val="002F7028"/>
    <w:rsid w:val="0030695E"/>
    <w:rsid w:val="003153E1"/>
    <w:rsid w:val="0032198A"/>
    <w:rsid w:val="0032506E"/>
    <w:rsid w:val="00327AF3"/>
    <w:rsid w:val="003533AF"/>
    <w:rsid w:val="0035429E"/>
    <w:rsid w:val="003552C8"/>
    <w:rsid w:val="00381AA5"/>
    <w:rsid w:val="003946AC"/>
    <w:rsid w:val="003A0DDF"/>
    <w:rsid w:val="003B4CB5"/>
    <w:rsid w:val="003B7D6E"/>
    <w:rsid w:val="003C0B86"/>
    <w:rsid w:val="003C76B9"/>
    <w:rsid w:val="003E3CD8"/>
    <w:rsid w:val="003F205F"/>
    <w:rsid w:val="003F2C28"/>
    <w:rsid w:val="00404C6E"/>
    <w:rsid w:val="00412AC6"/>
    <w:rsid w:val="004253CC"/>
    <w:rsid w:val="00427C8B"/>
    <w:rsid w:val="00440C88"/>
    <w:rsid w:val="00444A1B"/>
    <w:rsid w:val="00460770"/>
    <w:rsid w:val="00465764"/>
    <w:rsid w:val="00472D80"/>
    <w:rsid w:val="00485D26"/>
    <w:rsid w:val="00487AD2"/>
    <w:rsid w:val="004A72CD"/>
    <w:rsid w:val="004B352C"/>
    <w:rsid w:val="004C27C9"/>
    <w:rsid w:val="004D10B1"/>
    <w:rsid w:val="004D7402"/>
    <w:rsid w:val="004E001B"/>
    <w:rsid w:val="004E05AD"/>
    <w:rsid w:val="004E21F8"/>
    <w:rsid w:val="004F2407"/>
    <w:rsid w:val="004F4E3C"/>
    <w:rsid w:val="00501291"/>
    <w:rsid w:val="005050C0"/>
    <w:rsid w:val="005337A3"/>
    <w:rsid w:val="00533F6F"/>
    <w:rsid w:val="005410DA"/>
    <w:rsid w:val="005463FC"/>
    <w:rsid w:val="00564704"/>
    <w:rsid w:val="00577390"/>
    <w:rsid w:val="00593ACA"/>
    <w:rsid w:val="00596F0A"/>
    <w:rsid w:val="005C35B1"/>
    <w:rsid w:val="005D2008"/>
    <w:rsid w:val="005E294E"/>
    <w:rsid w:val="005E31A5"/>
    <w:rsid w:val="006020FC"/>
    <w:rsid w:val="00604BF1"/>
    <w:rsid w:val="00610FEE"/>
    <w:rsid w:val="00627CAA"/>
    <w:rsid w:val="00642749"/>
    <w:rsid w:val="006455B7"/>
    <w:rsid w:val="00671A4A"/>
    <w:rsid w:val="00685060"/>
    <w:rsid w:val="00695D58"/>
    <w:rsid w:val="006B691C"/>
    <w:rsid w:val="006D5CCC"/>
    <w:rsid w:val="006D6D3D"/>
    <w:rsid w:val="006D7F29"/>
    <w:rsid w:val="006E273B"/>
    <w:rsid w:val="006F1438"/>
    <w:rsid w:val="006F28CA"/>
    <w:rsid w:val="00701E35"/>
    <w:rsid w:val="0071047F"/>
    <w:rsid w:val="007411D3"/>
    <w:rsid w:val="0076566D"/>
    <w:rsid w:val="007704CE"/>
    <w:rsid w:val="00773CB3"/>
    <w:rsid w:val="00784062"/>
    <w:rsid w:val="007A3334"/>
    <w:rsid w:val="007A6526"/>
    <w:rsid w:val="007A65F6"/>
    <w:rsid w:val="007B4717"/>
    <w:rsid w:val="007F2D34"/>
    <w:rsid w:val="007F33A7"/>
    <w:rsid w:val="00806197"/>
    <w:rsid w:val="00821E20"/>
    <w:rsid w:val="00827B65"/>
    <w:rsid w:val="00836441"/>
    <w:rsid w:val="008411C7"/>
    <w:rsid w:val="00873A07"/>
    <w:rsid w:val="0089020C"/>
    <w:rsid w:val="008A05BD"/>
    <w:rsid w:val="008C457D"/>
    <w:rsid w:val="008D4049"/>
    <w:rsid w:val="008E2F18"/>
    <w:rsid w:val="008F6F92"/>
    <w:rsid w:val="009053E8"/>
    <w:rsid w:val="00921F49"/>
    <w:rsid w:val="00924326"/>
    <w:rsid w:val="00974C3E"/>
    <w:rsid w:val="0098077E"/>
    <w:rsid w:val="00992B18"/>
    <w:rsid w:val="0099368A"/>
    <w:rsid w:val="00994D17"/>
    <w:rsid w:val="00996873"/>
    <w:rsid w:val="009B0958"/>
    <w:rsid w:val="009B2C10"/>
    <w:rsid w:val="009B6375"/>
    <w:rsid w:val="009E1B92"/>
    <w:rsid w:val="00A52000"/>
    <w:rsid w:val="00A84238"/>
    <w:rsid w:val="00A9164A"/>
    <w:rsid w:val="00AA2F55"/>
    <w:rsid w:val="00AC05F3"/>
    <w:rsid w:val="00AC0E0B"/>
    <w:rsid w:val="00AD5762"/>
    <w:rsid w:val="00B22082"/>
    <w:rsid w:val="00B2236B"/>
    <w:rsid w:val="00B252E1"/>
    <w:rsid w:val="00B26907"/>
    <w:rsid w:val="00B478BD"/>
    <w:rsid w:val="00B51E15"/>
    <w:rsid w:val="00B523CE"/>
    <w:rsid w:val="00B55EA8"/>
    <w:rsid w:val="00B56DD2"/>
    <w:rsid w:val="00B6338A"/>
    <w:rsid w:val="00B73C84"/>
    <w:rsid w:val="00B73DDE"/>
    <w:rsid w:val="00B83CFC"/>
    <w:rsid w:val="00B864FA"/>
    <w:rsid w:val="00B87FF2"/>
    <w:rsid w:val="00B90156"/>
    <w:rsid w:val="00B90B72"/>
    <w:rsid w:val="00B955E1"/>
    <w:rsid w:val="00B95DF1"/>
    <w:rsid w:val="00BD6C1C"/>
    <w:rsid w:val="00BF20DB"/>
    <w:rsid w:val="00C120F5"/>
    <w:rsid w:val="00C14BB0"/>
    <w:rsid w:val="00C16730"/>
    <w:rsid w:val="00C23ECB"/>
    <w:rsid w:val="00C23F92"/>
    <w:rsid w:val="00C412F2"/>
    <w:rsid w:val="00C50A74"/>
    <w:rsid w:val="00C53D1B"/>
    <w:rsid w:val="00C670AA"/>
    <w:rsid w:val="00C7646B"/>
    <w:rsid w:val="00C819F5"/>
    <w:rsid w:val="00CA63FB"/>
    <w:rsid w:val="00CB32C8"/>
    <w:rsid w:val="00CB3F62"/>
    <w:rsid w:val="00CC6A25"/>
    <w:rsid w:val="00CD0B0F"/>
    <w:rsid w:val="00CD1184"/>
    <w:rsid w:val="00CD3BC4"/>
    <w:rsid w:val="00CE1D2F"/>
    <w:rsid w:val="00CE67B1"/>
    <w:rsid w:val="00CF752B"/>
    <w:rsid w:val="00D00A55"/>
    <w:rsid w:val="00D03072"/>
    <w:rsid w:val="00D0429C"/>
    <w:rsid w:val="00D05BE2"/>
    <w:rsid w:val="00D10F76"/>
    <w:rsid w:val="00D179C0"/>
    <w:rsid w:val="00D17D72"/>
    <w:rsid w:val="00D3123D"/>
    <w:rsid w:val="00D366BB"/>
    <w:rsid w:val="00D41F0D"/>
    <w:rsid w:val="00D41F90"/>
    <w:rsid w:val="00D53548"/>
    <w:rsid w:val="00D56A4C"/>
    <w:rsid w:val="00D75D77"/>
    <w:rsid w:val="00D76299"/>
    <w:rsid w:val="00DB674D"/>
    <w:rsid w:val="00DB6D8F"/>
    <w:rsid w:val="00DC5BFC"/>
    <w:rsid w:val="00DC6FE1"/>
    <w:rsid w:val="00DD215F"/>
    <w:rsid w:val="00DE349C"/>
    <w:rsid w:val="00DF5401"/>
    <w:rsid w:val="00DF5CD6"/>
    <w:rsid w:val="00E00550"/>
    <w:rsid w:val="00E00D67"/>
    <w:rsid w:val="00E14386"/>
    <w:rsid w:val="00E51359"/>
    <w:rsid w:val="00E62C59"/>
    <w:rsid w:val="00E66223"/>
    <w:rsid w:val="00E73742"/>
    <w:rsid w:val="00EA37CE"/>
    <w:rsid w:val="00EA4E83"/>
    <w:rsid w:val="00EB388E"/>
    <w:rsid w:val="00EB567C"/>
    <w:rsid w:val="00EC34E7"/>
    <w:rsid w:val="00EC51C1"/>
    <w:rsid w:val="00ED06B7"/>
    <w:rsid w:val="00ED3F52"/>
    <w:rsid w:val="00EF1F21"/>
    <w:rsid w:val="00F060A9"/>
    <w:rsid w:val="00F21D43"/>
    <w:rsid w:val="00F436D5"/>
    <w:rsid w:val="00F50B6A"/>
    <w:rsid w:val="00F56A4A"/>
    <w:rsid w:val="00F621AA"/>
    <w:rsid w:val="00F7046F"/>
    <w:rsid w:val="00F708A7"/>
    <w:rsid w:val="00F71A4D"/>
    <w:rsid w:val="00F7588C"/>
    <w:rsid w:val="00F77C0F"/>
    <w:rsid w:val="00F90FEC"/>
    <w:rsid w:val="00F95574"/>
    <w:rsid w:val="00F97BC9"/>
    <w:rsid w:val="00FA5AB4"/>
    <w:rsid w:val="00FA7D38"/>
    <w:rsid w:val="00FD186B"/>
    <w:rsid w:val="00FD3F47"/>
    <w:rsid w:val="00FE31FD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A714-5A44-4294-9547-22184035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8339</TotalTime>
  <Pages>11</Pages>
  <Words>4464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48</cp:revision>
  <cp:lastPrinted>2013-09-12T13:13:00Z</cp:lastPrinted>
  <dcterms:created xsi:type="dcterms:W3CDTF">2012-08-23T06:09:00Z</dcterms:created>
  <dcterms:modified xsi:type="dcterms:W3CDTF">2013-11-22T14:48:00Z</dcterms:modified>
</cp:coreProperties>
</file>