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841FF6"/>
    <w:p w:rsidR="00A77B3E" w:rsidRDefault="00611B54">
      <w:pPr>
        <w:jc w:val="center"/>
        <w:rPr>
          <w:b/>
          <w:caps/>
        </w:rPr>
      </w:pPr>
      <w:r>
        <w:rPr>
          <w:b/>
          <w:caps/>
        </w:rPr>
        <w:t xml:space="preserve">Zarządzenie Nr 55/2017 </w:t>
      </w:r>
      <w:r w:rsidR="005707B9">
        <w:rPr>
          <w:b/>
          <w:caps/>
        </w:rPr>
        <w:br/>
        <w:t>Starosty Włocławskiego</w:t>
      </w:r>
    </w:p>
    <w:p w:rsidR="00A77B3E" w:rsidRPr="00145AA8" w:rsidRDefault="00611B54">
      <w:pPr>
        <w:spacing w:before="280" w:after="280"/>
        <w:jc w:val="center"/>
        <w:rPr>
          <w:b/>
          <w:caps/>
        </w:rPr>
      </w:pPr>
      <w:r w:rsidRPr="00145AA8">
        <w:rPr>
          <w:b/>
        </w:rPr>
        <w:t xml:space="preserve">z dnia 28 grudnia </w:t>
      </w:r>
      <w:r w:rsidR="005707B9" w:rsidRPr="00145AA8">
        <w:rPr>
          <w:b/>
        </w:rPr>
        <w:t>2017 r.</w:t>
      </w:r>
    </w:p>
    <w:p w:rsidR="00A77B3E" w:rsidRDefault="005707B9">
      <w:pPr>
        <w:keepNext/>
        <w:spacing w:after="480"/>
        <w:jc w:val="center"/>
      </w:pPr>
      <w:r>
        <w:rPr>
          <w:b/>
        </w:rPr>
        <w:t>w sprawie przyjęcia zasad (polityki) rachunkowości dla Starostwa Powiatowego we Włocławku</w:t>
      </w:r>
    </w:p>
    <w:p w:rsidR="00A77B3E" w:rsidRDefault="005707B9">
      <w:pPr>
        <w:keepLines/>
        <w:spacing w:before="120" w:after="120"/>
        <w:ind w:firstLine="227"/>
      </w:pPr>
      <w:r>
        <w:t>Na podstawie art. 4 ust. 3 oraz art.10 ustawy z dnia 29 września 1994 roku o rachunkowości (Dz. U. z 2017 roku poz. 2342), §15 pkt.4 rozporządzenia Ministra Finansów z dnia 5 lipca 2010 r.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z 2017r poz. 760) oraz art.16i ust.1 i art.16m ust.1 pkt 1 ustawy z dnia 15 lutego 1992 r. o podatku dochodowym od osób prawnych (Dz.U. z 2017 r. poz. 2343), zarządza się, co następuje:</w:t>
      </w:r>
    </w:p>
    <w:p w:rsidR="00A77B3E" w:rsidRDefault="005707B9">
      <w:pPr>
        <w:keepLines/>
        <w:spacing w:before="120" w:after="120"/>
        <w:ind w:firstLine="340"/>
      </w:pPr>
      <w:r>
        <w:rPr>
          <w:b/>
        </w:rPr>
        <w:t>§ 1. </w:t>
      </w:r>
      <w:r>
        <w:t>W zarządzeniu nr 27/2017 Starosty Włocławskiego z dnia 30 czerwca 2017 r. w sprawie przyjęcia zasad (polityki) rachunkowości dla Starostwa Powiatowego we Włocławku, wprowadza się następujące zmiany:</w:t>
      </w:r>
    </w:p>
    <w:p w:rsidR="00A77B3E" w:rsidRDefault="005707B9">
      <w:pPr>
        <w:spacing w:before="120" w:after="120"/>
        <w:ind w:left="340" w:hanging="227"/>
      </w:pPr>
      <w:r>
        <w:t>1) Załącznik nr 4 do zasad (polityki) rachunkowości dla Starostwa Powiatowego we Włocławku otrzymuje brzmienie jak w załączniku do niniejszego zarządzenia.</w:t>
      </w:r>
    </w:p>
    <w:p w:rsidR="00A77B3E" w:rsidRDefault="005707B9">
      <w:pPr>
        <w:keepNext/>
        <w:keepLines/>
        <w:spacing w:before="120" w:after="120"/>
        <w:ind w:firstLine="340"/>
      </w:pPr>
      <w:r>
        <w:rPr>
          <w:b/>
        </w:rPr>
        <w:t>§ 2. </w:t>
      </w:r>
      <w:r>
        <w:t>Zarządzenie wchodzi w życie z dniem podpisania.</w:t>
      </w:r>
    </w:p>
    <w:p w:rsidR="00A77B3E" w:rsidRDefault="00841FF6">
      <w:pPr>
        <w:keepNext/>
        <w:keepLines/>
        <w:spacing w:before="120" w:after="120"/>
        <w:ind w:firstLine="340"/>
      </w:pPr>
    </w:p>
    <w:p w:rsidR="00A77B3E" w:rsidRDefault="005707B9">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E25952">
        <w:tc>
          <w:tcPr>
            <w:tcW w:w="2500" w:type="pct"/>
            <w:tcMar>
              <w:top w:w="0" w:type="dxa"/>
              <w:left w:w="0" w:type="dxa"/>
              <w:bottom w:w="0" w:type="dxa"/>
              <w:right w:w="0" w:type="dxa"/>
            </w:tcMar>
          </w:tcPr>
          <w:p w:rsidR="00E25952" w:rsidRDefault="00E25952">
            <w:pPr>
              <w:keepNext/>
              <w:keepLines/>
              <w:jc w:val="left"/>
              <w:rPr>
                <w:color w:val="000000"/>
                <w:szCs w:val="22"/>
              </w:rPr>
            </w:pPr>
          </w:p>
        </w:tc>
        <w:tc>
          <w:tcPr>
            <w:tcW w:w="2500" w:type="pct"/>
            <w:tcMar>
              <w:top w:w="0" w:type="dxa"/>
              <w:left w:w="0" w:type="dxa"/>
              <w:bottom w:w="0" w:type="dxa"/>
              <w:right w:w="0" w:type="dxa"/>
            </w:tcMar>
          </w:tcPr>
          <w:p w:rsidR="00E25952" w:rsidRDefault="005707B9">
            <w:pPr>
              <w:keepNext/>
              <w:keepLines/>
              <w:spacing w:before="560" w:after="560"/>
              <w:ind w:left="1134" w:right="1134"/>
              <w:jc w:val="center"/>
              <w:rPr>
                <w:color w:val="000000"/>
                <w:szCs w:val="22"/>
              </w:rPr>
            </w:pPr>
            <w:r>
              <w:rPr>
                <w:color w:val="000000"/>
                <w:szCs w:val="22"/>
              </w:rPr>
              <w:t>Starosta Włocławski</w:t>
            </w:r>
            <w:r>
              <w:rPr>
                <w:color w:val="000000"/>
                <w:szCs w:val="22"/>
              </w:rPr>
              <w:br/>
            </w:r>
            <w:r>
              <w:rPr>
                <w:color w:val="000000"/>
                <w:szCs w:val="22"/>
              </w:rPr>
              <w:br/>
            </w:r>
            <w:r>
              <w:rPr>
                <w:color w:val="000000"/>
                <w:szCs w:val="22"/>
              </w:rPr>
              <w:br/>
            </w:r>
            <w:r>
              <w:rPr>
                <w:b/>
              </w:rPr>
              <w:t>Kazimierz Kaca</w:t>
            </w:r>
          </w:p>
        </w:tc>
      </w:tr>
    </w:tbl>
    <w:p w:rsidR="00A77B3E" w:rsidRDefault="00841FF6" w:rsidP="005707B9">
      <w:pPr>
        <w:spacing w:before="120" w:after="120"/>
        <w:ind w:left="283"/>
        <w:sectPr w:rsidR="00A77B3E">
          <w:footerReference w:type="default" r:id="rId6"/>
          <w:endnotePr>
            <w:numFmt w:val="decimal"/>
          </w:endnotePr>
          <w:pgSz w:w="11906" w:h="16838"/>
          <w:pgMar w:top="992" w:right="1020" w:bottom="992" w:left="1020" w:header="708" w:footer="708" w:gutter="0"/>
          <w:cols w:space="708"/>
          <w:docGrid w:linePitch="360"/>
        </w:sectPr>
      </w:pPr>
    </w:p>
    <w:p w:rsidR="00A77B3E" w:rsidRDefault="005707B9">
      <w:pPr>
        <w:spacing w:before="120" w:after="120" w:line="360" w:lineRule="auto"/>
        <w:ind w:left="4535"/>
        <w:jc w:val="left"/>
      </w:pPr>
      <w:r>
        <w:lastRenderedPageBreak/>
        <w:fldChar w:fldCharType="begin"/>
      </w:r>
      <w:r>
        <w:fldChar w:fldCharType="end"/>
      </w:r>
      <w:r w:rsidR="004A069F">
        <w:t xml:space="preserve">Załącznik do Zarządzenia Nr 55/2017 </w:t>
      </w:r>
      <w:r>
        <w:br/>
        <w:t>Starosty Włocławskiego</w:t>
      </w:r>
      <w:r>
        <w:br/>
        <w:t>z dnia</w:t>
      </w:r>
      <w:r w:rsidR="004A069F">
        <w:t xml:space="preserve"> 28 grudnia </w:t>
      </w:r>
      <w:r>
        <w:t>2017 r.</w:t>
      </w:r>
    </w:p>
    <w:p w:rsidR="005707B9" w:rsidRDefault="005707B9">
      <w:pPr>
        <w:spacing w:before="120" w:after="120"/>
        <w:ind w:left="283" w:firstLine="227"/>
        <w:jc w:val="center"/>
        <w:rPr>
          <w:b/>
        </w:rPr>
      </w:pPr>
    </w:p>
    <w:p w:rsidR="00A77B3E" w:rsidRDefault="005707B9">
      <w:pPr>
        <w:spacing w:before="120" w:after="120"/>
        <w:ind w:left="283" w:firstLine="227"/>
        <w:jc w:val="center"/>
      </w:pPr>
      <w:r>
        <w:rPr>
          <w:b/>
        </w:rPr>
        <w:t>WYKAZ</w:t>
      </w:r>
    </w:p>
    <w:p w:rsidR="00A77B3E" w:rsidRDefault="005707B9">
      <w:pPr>
        <w:spacing w:before="120" w:after="120"/>
        <w:ind w:left="283" w:firstLine="227"/>
        <w:jc w:val="center"/>
      </w:pPr>
      <w:r>
        <w:rPr>
          <w:b/>
        </w:rPr>
        <w:t xml:space="preserve">ROCZNYCH STAWEK AMORTYZACYJNYCH (UMORZENOWYCH) </w:t>
      </w:r>
    </w:p>
    <w:p w:rsidR="00A77B3E" w:rsidRDefault="005707B9">
      <w:pPr>
        <w:spacing w:before="120" w:after="120"/>
        <w:ind w:left="283" w:firstLine="227"/>
        <w:jc w:val="center"/>
        <w:rPr>
          <w:b/>
        </w:rPr>
      </w:pPr>
      <w:r>
        <w:rPr>
          <w:b/>
        </w:rPr>
        <w:t>ŚRODKÓW TRWAŁYCH I WARTOŚCI NIEMATERIALNYCH I PRAWNYCH BEDĄCYCH NA WYPOSAŻENIU W STAROSTWIE POWIATOWYM WE WŁOCŁAWKU</w:t>
      </w:r>
    </w:p>
    <w:p w:rsidR="005707B9" w:rsidRDefault="005707B9">
      <w:pPr>
        <w:spacing w:before="120" w:after="120"/>
        <w:ind w:left="283" w:firstLine="22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81"/>
        <w:gridCol w:w="5953"/>
        <w:gridCol w:w="1479"/>
      </w:tblGrid>
      <w:tr w:rsidR="00E25952" w:rsidTr="005707B9">
        <w:trPr>
          <w:trHeight w:val="900"/>
        </w:trPr>
        <w:tc>
          <w:tcPr>
            <w:tcW w:w="486" w:type="pct"/>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5707B9">
            <w:pPr>
              <w:jc w:val="center"/>
            </w:pPr>
            <w:r>
              <w:rPr>
                <w:b/>
              </w:rPr>
              <w:t>Lp.</w:t>
            </w:r>
          </w:p>
        </w:tc>
        <w:tc>
          <w:tcPr>
            <w:tcW w:w="750" w:type="pct"/>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5707B9">
            <w:pPr>
              <w:jc w:val="center"/>
            </w:pPr>
            <w:r>
              <w:rPr>
                <w:b/>
              </w:rPr>
              <w:t>Grupa</w:t>
            </w:r>
          </w:p>
        </w:tc>
        <w:tc>
          <w:tcPr>
            <w:tcW w:w="3015" w:type="pct"/>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5707B9">
            <w:pPr>
              <w:jc w:val="center"/>
            </w:pPr>
            <w:r>
              <w:rPr>
                <w:b/>
              </w:rPr>
              <w:t>Nazwa środków trwałych</w:t>
            </w:r>
          </w:p>
        </w:tc>
        <w:tc>
          <w:tcPr>
            <w:tcW w:w="750"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5707B9">
            <w:pPr>
              <w:jc w:val="center"/>
            </w:pPr>
            <w:r>
              <w:rPr>
                <w:b/>
              </w:rPr>
              <w:t>Stawka</w:t>
            </w:r>
          </w:p>
          <w:p w:rsidR="00A77B3E" w:rsidRDefault="005707B9">
            <w:pPr>
              <w:jc w:val="center"/>
            </w:pPr>
            <w:proofErr w:type="spellStart"/>
            <w:r>
              <w:rPr>
                <w:b/>
              </w:rPr>
              <w:t>amort</w:t>
            </w:r>
            <w:proofErr w:type="spellEnd"/>
            <w:r>
              <w:rPr>
                <w:b/>
              </w:rPr>
              <w:t>.</w:t>
            </w:r>
          </w:p>
          <w:p w:rsidR="00A77B3E" w:rsidRDefault="005707B9">
            <w:pPr>
              <w:jc w:val="center"/>
            </w:pPr>
            <w:r>
              <w:rPr>
                <w:b/>
              </w:rPr>
              <w:t>(</w:t>
            </w:r>
            <w:proofErr w:type="spellStart"/>
            <w:r>
              <w:rPr>
                <w:b/>
              </w:rPr>
              <w:t>umorz</w:t>
            </w:r>
            <w:proofErr w:type="spellEnd"/>
            <w:r>
              <w:rPr>
                <w:b/>
              </w:rPr>
              <w:t>.)</w:t>
            </w:r>
          </w:p>
          <w:p w:rsidR="00A77B3E" w:rsidRDefault="005707B9">
            <w:pPr>
              <w:jc w:val="center"/>
            </w:pPr>
            <w:r>
              <w:rPr>
                <w:b/>
              </w:rPr>
              <w:t>w %</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1.</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1</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Budynki, lokale mieszkalne</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1,5</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841FF6">
            <w:pPr>
              <w:jc w:val="left"/>
            </w:pP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1</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Budynki niemieszkalne</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2,5</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2.</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2</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Obiekty inżynierii lądowej i wodnej w tym: sieć kanalizacyjna, ogrodzenie, szambo</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4,5</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3.</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3</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Kotły i maszyny elektryczne</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7</w:t>
            </w:r>
          </w:p>
        </w:tc>
      </w:tr>
      <w:tr w:rsidR="00E25952" w:rsidTr="005707B9">
        <w:trPr>
          <w:trHeight w:val="573"/>
        </w:trPr>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4.</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4</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Maszyny, urządzenia i aparaty ogólnego zastosowania</w:t>
            </w:r>
          </w:p>
          <w:p w:rsidR="00A77B3E" w:rsidRDefault="005707B9">
            <w:pPr>
              <w:jc w:val="left"/>
            </w:pPr>
            <w:r>
              <w:t>Zestawy komputerowe</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10</w:t>
            </w:r>
          </w:p>
          <w:p w:rsidR="00A77B3E" w:rsidRDefault="005707B9" w:rsidP="005707B9">
            <w:pPr>
              <w:jc w:val="center"/>
            </w:pPr>
            <w:r>
              <w:t>30</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5.</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6</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Urządzenia techniczne</w:t>
            </w:r>
          </w:p>
          <w:p w:rsidR="00A77B3E" w:rsidRDefault="005707B9">
            <w:pPr>
              <w:jc w:val="left"/>
            </w:pPr>
            <w:r>
              <w:t>Klimatyzatory</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10</w:t>
            </w:r>
          </w:p>
          <w:p w:rsidR="00A77B3E" w:rsidRDefault="005707B9" w:rsidP="005707B9">
            <w:pPr>
              <w:jc w:val="center"/>
            </w:pPr>
            <w:r>
              <w:t>20</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6.</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7</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Środki transportu</w:t>
            </w:r>
          </w:p>
          <w:p w:rsidR="00A77B3E" w:rsidRDefault="005707B9">
            <w:pPr>
              <w:jc w:val="left"/>
            </w:pPr>
            <w:r>
              <w:t>Samochody osobowe</w:t>
            </w:r>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20</w:t>
            </w:r>
          </w:p>
          <w:p w:rsidR="00A77B3E" w:rsidRDefault="005707B9" w:rsidP="005707B9">
            <w:pPr>
              <w:jc w:val="center"/>
            </w:pPr>
            <w:r>
              <w:t>20</w:t>
            </w:r>
          </w:p>
        </w:tc>
      </w:tr>
      <w:tr w:rsidR="00E25952" w:rsidTr="005707B9">
        <w:tc>
          <w:tcPr>
            <w:tcW w:w="486"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7.</w:t>
            </w:r>
          </w:p>
        </w:tc>
        <w:tc>
          <w:tcPr>
            <w:tcW w:w="750"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8</w:t>
            </w:r>
          </w:p>
        </w:tc>
        <w:tc>
          <w:tcPr>
            <w:tcW w:w="3015" w:type="pct"/>
            <w:tcBorders>
              <w:top w:val="nil"/>
              <w:left w:val="single" w:sz="2" w:space="0" w:color="auto"/>
              <w:bottom w:val="single" w:sz="2" w:space="0" w:color="auto"/>
              <w:right w:val="nil"/>
            </w:tcBorders>
            <w:tcMar>
              <w:top w:w="0" w:type="dxa"/>
              <w:left w:w="0" w:type="dxa"/>
              <w:bottom w:w="0" w:type="dxa"/>
              <w:right w:w="0" w:type="dxa"/>
            </w:tcMar>
          </w:tcPr>
          <w:p w:rsidR="00A77B3E" w:rsidRDefault="005707B9">
            <w:pPr>
              <w:jc w:val="left"/>
            </w:pPr>
            <w:r>
              <w:t>Narzędzia, przyrządy, ruchomości i wyposażenie</w:t>
            </w:r>
          </w:p>
          <w:p w:rsidR="00A77B3E" w:rsidRDefault="005707B9">
            <w:pPr>
              <w:jc w:val="left"/>
            </w:pPr>
            <w:r>
              <w:t>Kserokopiarki</w:t>
            </w:r>
          </w:p>
          <w:p w:rsidR="00A77B3E" w:rsidRDefault="005707B9">
            <w:pPr>
              <w:jc w:val="left"/>
            </w:pPr>
            <w:r>
              <w:t xml:space="preserve">Szafy </w:t>
            </w:r>
            <w:proofErr w:type="spellStart"/>
            <w:r>
              <w:t>Alpina</w:t>
            </w:r>
            <w:proofErr w:type="spellEnd"/>
          </w:p>
        </w:tc>
        <w:tc>
          <w:tcPr>
            <w:tcW w:w="750" w:type="pct"/>
            <w:tcBorders>
              <w:top w:val="nil"/>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20</w:t>
            </w:r>
          </w:p>
          <w:p w:rsidR="00A77B3E" w:rsidRDefault="005707B9" w:rsidP="005707B9">
            <w:pPr>
              <w:jc w:val="center"/>
            </w:pPr>
            <w:r>
              <w:t>20</w:t>
            </w:r>
          </w:p>
          <w:p w:rsidR="00A77B3E" w:rsidRDefault="005707B9" w:rsidP="005707B9">
            <w:pPr>
              <w:jc w:val="center"/>
            </w:pPr>
            <w:r>
              <w:t>20</w:t>
            </w:r>
          </w:p>
        </w:tc>
      </w:tr>
      <w:tr w:rsidR="00E25952" w:rsidTr="005707B9">
        <w:tc>
          <w:tcPr>
            <w:tcW w:w="4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841FF6">
            <w:pPr>
              <w:jc w:val="left"/>
            </w:pPr>
          </w:p>
        </w:tc>
        <w:tc>
          <w:tcPr>
            <w:tcW w:w="750"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5707B9">
            <w:pPr>
              <w:jc w:val="left"/>
            </w:pPr>
            <w:r>
              <w:t>8</w:t>
            </w:r>
          </w:p>
        </w:tc>
        <w:tc>
          <w:tcPr>
            <w:tcW w:w="3015"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5707B9">
            <w:pPr>
              <w:jc w:val="left"/>
            </w:pPr>
            <w:r>
              <w:t>Programy komputerowe</w:t>
            </w:r>
          </w:p>
        </w:tc>
        <w:tc>
          <w:tcPr>
            <w:tcW w:w="750"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5707B9" w:rsidP="005707B9">
            <w:pPr>
              <w:jc w:val="center"/>
            </w:pPr>
            <w:r>
              <w:t>50</w:t>
            </w:r>
          </w:p>
        </w:tc>
      </w:tr>
    </w:tbl>
    <w:p w:rsidR="00A77B3E" w:rsidRDefault="00841FF6">
      <w:pPr>
        <w:sectPr w:rsidR="00A77B3E">
          <w:footerReference w:type="default" r:id="rId7"/>
          <w:endnotePr>
            <w:numFmt w:val="decimal"/>
          </w:endnotePr>
          <w:pgSz w:w="11906" w:h="16838"/>
          <w:pgMar w:top="992" w:right="1020" w:bottom="992" w:left="1020" w:header="708" w:footer="708" w:gutter="0"/>
          <w:pgNumType w:start="1"/>
          <w:cols w:space="708"/>
          <w:docGrid w:linePitch="360"/>
        </w:sectPr>
      </w:pPr>
    </w:p>
    <w:p w:rsidR="00E25952" w:rsidRDefault="00E25952">
      <w:pPr>
        <w:pStyle w:val="Normal0"/>
        <w:spacing w:line="360" w:lineRule="auto"/>
        <w:rPr>
          <w:shd w:val="clear" w:color="auto" w:fill="FFFFFF"/>
        </w:rPr>
      </w:pPr>
      <w:bookmarkStart w:id="0" w:name="_GoBack"/>
      <w:bookmarkEnd w:id="0"/>
    </w:p>
    <w:sectPr w:rsidR="00E25952">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FF6" w:rsidRDefault="00841FF6">
      <w:r>
        <w:separator/>
      </w:r>
    </w:p>
  </w:endnote>
  <w:endnote w:type="continuationSeparator" w:id="0">
    <w:p w:rsidR="00841FF6" w:rsidRDefault="0084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25952">
      <w:tc>
        <w:tcPr>
          <w:tcW w:w="6577" w:type="dxa"/>
          <w:tcBorders>
            <w:top w:val="single" w:sz="2" w:space="0" w:color="auto"/>
            <w:left w:val="nil"/>
            <w:bottom w:val="nil"/>
            <w:right w:val="nil"/>
          </w:tcBorders>
          <w:tcMar>
            <w:top w:w="100" w:type="dxa"/>
            <w:left w:w="0" w:type="dxa"/>
            <w:bottom w:w="0" w:type="dxa"/>
            <w:right w:w="0" w:type="dxa"/>
          </w:tcMar>
        </w:tcPr>
        <w:p w:rsidR="00E25952" w:rsidRDefault="00E25952">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tcPr>
        <w:p w:rsidR="00E25952" w:rsidRDefault="00E25952" w:rsidP="005707B9">
          <w:pPr>
            <w:rPr>
              <w:sz w:val="18"/>
            </w:rPr>
          </w:pPr>
        </w:p>
      </w:tc>
    </w:tr>
  </w:tbl>
  <w:p w:rsidR="00E25952" w:rsidRDefault="00E25952">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25952">
      <w:tc>
        <w:tcPr>
          <w:tcW w:w="6577" w:type="dxa"/>
          <w:tcBorders>
            <w:top w:val="single" w:sz="2" w:space="0" w:color="auto"/>
            <w:left w:val="nil"/>
            <w:bottom w:val="nil"/>
            <w:right w:val="nil"/>
          </w:tcBorders>
          <w:tcMar>
            <w:top w:w="100" w:type="dxa"/>
            <w:left w:w="0" w:type="dxa"/>
            <w:bottom w:w="0" w:type="dxa"/>
            <w:right w:w="0" w:type="dxa"/>
          </w:tcMar>
        </w:tcPr>
        <w:p w:rsidR="00E25952" w:rsidRDefault="00E25952">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tcPr>
        <w:p w:rsidR="00E25952" w:rsidRDefault="00E25952">
          <w:pPr>
            <w:jc w:val="right"/>
            <w:rPr>
              <w:sz w:val="18"/>
            </w:rPr>
          </w:pPr>
        </w:p>
      </w:tc>
    </w:tr>
  </w:tbl>
  <w:p w:rsidR="00E25952" w:rsidRDefault="00E25952">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E25952">
      <w:tc>
        <w:tcPr>
          <w:tcW w:w="6403" w:type="dxa"/>
          <w:tcBorders>
            <w:top w:val="single" w:sz="2" w:space="0" w:color="auto"/>
            <w:left w:val="nil"/>
            <w:bottom w:val="nil"/>
            <w:right w:val="nil"/>
          </w:tcBorders>
          <w:tcMar>
            <w:top w:w="100" w:type="dxa"/>
            <w:left w:w="0" w:type="dxa"/>
            <w:bottom w:w="0" w:type="dxa"/>
            <w:right w:w="0" w:type="dxa"/>
          </w:tcMar>
        </w:tcPr>
        <w:p w:rsidR="00E25952" w:rsidRDefault="00E25952">
          <w:pPr>
            <w:jc w:val="left"/>
            <w:rPr>
              <w:sz w:val="18"/>
            </w:rPr>
          </w:pPr>
        </w:p>
      </w:tc>
      <w:tc>
        <w:tcPr>
          <w:tcW w:w="3202" w:type="dxa"/>
          <w:tcBorders>
            <w:top w:val="single" w:sz="2" w:space="0" w:color="auto"/>
            <w:left w:val="nil"/>
            <w:bottom w:val="nil"/>
            <w:right w:val="nil"/>
          </w:tcBorders>
          <w:tcMar>
            <w:top w:w="100" w:type="dxa"/>
            <w:left w:w="0" w:type="dxa"/>
            <w:bottom w:w="0" w:type="dxa"/>
            <w:right w:w="0" w:type="dxa"/>
          </w:tcMar>
        </w:tcPr>
        <w:p w:rsidR="00E25952" w:rsidRDefault="00E25952">
          <w:pPr>
            <w:jc w:val="right"/>
            <w:rPr>
              <w:sz w:val="18"/>
            </w:rPr>
          </w:pPr>
        </w:p>
      </w:tc>
    </w:tr>
  </w:tbl>
  <w:p w:rsidR="00E25952" w:rsidRDefault="00E2595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FF6" w:rsidRDefault="00841FF6">
      <w:r>
        <w:separator/>
      </w:r>
    </w:p>
  </w:footnote>
  <w:footnote w:type="continuationSeparator" w:id="0">
    <w:p w:rsidR="00841FF6" w:rsidRDefault="00841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52"/>
    <w:rsid w:val="00145AA8"/>
    <w:rsid w:val="001B15AD"/>
    <w:rsid w:val="00456208"/>
    <w:rsid w:val="004A069F"/>
    <w:rsid w:val="005707B9"/>
    <w:rsid w:val="00611B54"/>
    <w:rsid w:val="00841FF6"/>
    <w:rsid w:val="008451CC"/>
    <w:rsid w:val="008B4232"/>
    <w:rsid w:val="009A60B9"/>
    <w:rsid w:val="00DC1BFF"/>
    <w:rsid w:val="00E25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E126"/>
  <w15:docId w15:val="{9C9D5F0A-285C-4313-AA7D-BE43453B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rPr>
      <w:color w:val="000000"/>
      <w:sz w:val="22"/>
    </w:rPr>
  </w:style>
  <w:style w:type="paragraph" w:styleId="Nagwek">
    <w:name w:val="header"/>
    <w:basedOn w:val="Normalny"/>
    <w:link w:val="NagwekZnak"/>
    <w:rsid w:val="005707B9"/>
    <w:pPr>
      <w:tabs>
        <w:tab w:val="center" w:pos="4536"/>
        <w:tab w:val="right" w:pos="9072"/>
      </w:tabs>
    </w:pPr>
  </w:style>
  <w:style w:type="character" w:customStyle="1" w:styleId="NagwekZnak">
    <w:name w:val="Nagłówek Znak"/>
    <w:basedOn w:val="Domylnaczcionkaakapitu"/>
    <w:link w:val="Nagwek"/>
    <w:rsid w:val="005707B9"/>
    <w:rPr>
      <w:sz w:val="22"/>
      <w:szCs w:val="24"/>
    </w:rPr>
  </w:style>
  <w:style w:type="paragraph" w:styleId="Stopka">
    <w:name w:val="footer"/>
    <w:basedOn w:val="Normalny"/>
    <w:link w:val="StopkaZnak"/>
    <w:rsid w:val="005707B9"/>
    <w:pPr>
      <w:tabs>
        <w:tab w:val="center" w:pos="4536"/>
        <w:tab w:val="right" w:pos="9072"/>
      </w:tabs>
    </w:pPr>
  </w:style>
  <w:style w:type="character" w:customStyle="1" w:styleId="StopkaZnak">
    <w:name w:val="Stopka Znak"/>
    <w:basedOn w:val="Domylnaczcionkaakapitu"/>
    <w:link w:val="Stopka"/>
    <w:rsid w:val="005707B9"/>
    <w:rPr>
      <w:sz w:val="22"/>
      <w:szCs w:val="24"/>
    </w:rPr>
  </w:style>
  <w:style w:type="paragraph" w:styleId="Tekstdymka">
    <w:name w:val="Balloon Text"/>
    <w:basedOn w:val="Normalny"/>
    <w:link w:val="TekstdymkaZnak"/>
    <w:rsid w:val="009A60B9"/>
    <w:rPr>
      <w:rFonts w:ascii="Tahoma" w:hAnsi="Tahoma" w:cs="Tahoma"/>
      <w:sz w:val="16"/>
      <w:szCs w:val="16"/>
    </w:rPr>
  </w:style>
  <w:style w:type="character" w:customStyle="1" w:styleId="TekstdymkaZnak">
    <w:name w:val="Tekst dymka Znak"/>
    <w:basedOn w:val="Domylnaczcionkaakapitu"/>
    <w:link w:val="Tekstdymka"/>
    <w:rsid w:val="009A6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1827</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Starosta Włocławski</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przyjęcia zasad (polityki) rachunkowości dla Starostwa Powiatowego we Włocławku</dc:subject>
  <dc:creator>skarbnik</dc:creator>
  <cp:lastModifiedBy>R. Wesołowska</cp:lastModifiedBy>
  <cp:revision>2</cp:revision>
  <cp:lastPrinted>2017-12-28T10:23:00Z</cp:lastPrinted>
  <dcterms:created xsi:type="dcterms:W3CDTF">2018-01-03T08:11:00Z</dcterms:created>
  <dcterms:modified xsi:type="dcterms:W3CDTF">2018-01-03T08:11:00Z</dcterms:modified>
  <cp:category>Akt prawny</cp:category>
</cp:coreProperties>
</file>